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119B97">
      <w:pPr>
        <w:spacing w:after="75" w:line="240" w:lineRule="auto"/>
        <w:jc w:val="center"/>
        <w:outlineLvl w:val="0"/>
        <w:rPr>
          <w:rFonts w:ascii="Times New Roman" w:hAnsi="Times New Roman" w:eastAsia="Times New Roman" w:cs="Times New Roman"/>
          <w:b/>
          <w:kern w:val="36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kern w:val="36"/>
          <w:sz w:val="24"/>
          <w:szCs w:val="24"/>
        </w:rPr>
        <w:t xml:space="preserve">Отчет о ходе реализации муниципальных программ </w:t>
      </w:r>
    </w:p>
    <w:p w14:paraId="11038AD9">
      <w:pPr>
        <w:spacing w:after="75" w:line="240" w:lineRule="auto"/>
        <w:jc w:val="center"/>
        <w:outlineLvl w:val="0"/>
        <w:rPr>
          <w:rFonts w:ascii="Times New Roman" w:hAnsi="Times New Roman" w:eastAsia="Times New Roman" w:cs="Times New Roman"/>
          <w:b/>
          <w:kern w:val="36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kern w:val="36"/>
          <w:sz w:val="24"/>
          <w:szCs w:val="24"/>
        </w:rPr>
        <w:t>на территории МО «Старомаклаушинское  сельское поселение» за  202</w:t>
      </w:r>
      <w:r>
        <w:rPr>
          <w:rFonts w:hint="default" w:ascii="Times New Roman" w:hAnsi="Times New Roman" w:eastAsia="Times New Roman" w:cs="Times New Roman"/>
          <w:b/>
          <w:kern w:val="36"/>
          <w:sz w:val="24"/>
          <w:szCs w:val="24"/>
          <w:lang w:val="ru-RU"/>
        </w:rPr>
        <w:t>4</w:t>
      </w:r>
      <w:r>
        <w:rPr>
          <w:rFonts w:ascii="Times New Roman" w:hAnsi="Times New Roman" w:eastAsia="Times New Roman" w:cs="Times New Roman"/>
          <w:b/>
          <w:kern w:val="36"/>
          <w:sz w:val="24"/>
          <w:szCs w:val="24"/>
        </w:rPr>
        <w:t xml:space="preserve"> год.</w:t>
      </w:r>
    </w:p>
    <w:p w14:paraId="31B684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7717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1.Сводные данные о ходе выполнения муниципальных программ</w:t>
      </w:r>
    </w:p>
    <w:p w14:paraId="609D5FA2">
      <w:pPr>
        <w:spacing w:after="75" w:line="240" w:lineRule="auto"/>
        <w:jc w:val="center"/>
        <w:outlineLvl w:val="0"/>
        <w:rPr>
          <w:rFonts w:ascii="Times New Roman" w:hAnsi="Times New Roman" w:eastAsia="Times New Roman" w:cs="Times New Roman"/>
          <w:b/>
          <w:kern w:val="36"/>
        </w:rPr>
      </w:pPr>
    </w:p>
    <w:p w14:paraId="18DB3E3A">
      <w:pPr>
        <w:spacing w:after="75" w:line="240" w:lineRule="auto"/>
        <w:jc w:val="center"/>
        <w:outlineLvl w:val="0"/>
        <w:rPr>
          <w:rFonts w:ascii="Times New Roman" w:hAnsi="Times New Roman" w:eastAsia="Times New Roman" w:cs="Times New Roman"/>
          <w:b/>
          <w:kern w:val="36"/>
          <w:sz w:val="24"/>
          <w:szCs w:val="24"/>
        </w:rPr>
      </w:pPr>
    </w:p>
    <w:p w14:paraId="123EED30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Настоящий отчет подготовлен в соответствии с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Постановлением Администрации МО "Майнский район"  от 13.01.2023 </w:t>
      </w:r>
      <w:r>
        <w:rPr>
          <w:rFonts w:hint="default" w:ascii="Times New Roman" w:hAnsi="Times New Roman" w:cs="Times New Roman"/>
          <w:sz w:val="24"/>
          <w:szCs w:val="24"/>
        </w:rPr>
        <w:t>года  №13 «Об утверждении правил разработки, оценки эффективности муниципальных программ  МО «Майнский район» Ульяновской области, а так же осуществления контроля за ходом их реализации.</w:t>
      </w:r>
    </w:p>
    <w:p w14:paraId="7CFB70FB">
      <w:pPr>
        <w:spacing w:after="0" w:line="240" w:lineRule="auto"/>
        <w:ind w:firstLine="600" w:firstLineChars="250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На территории муниципального образования «Старомаклаушинское сельское поселение»  в соответствии  с  постановлением администрации МО "Старомаклаушинское сельское поселение" №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41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от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23.08.2022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года "Об утверждении перечня муниципальных программ муниципального образования "Старомаклаушинское сельское поселение" на 2023-2025 годы в редакции постановления от 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01.11.2023г.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№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152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 реализуются 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3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муниципальные   программы.</w:t>
      </w:r>
    </w:p>
    <w:p w14:paraId="587C58FD">
      <w:pPr>
        <w:shd w:val="clear" w:color="auto" w:fill="FFFFFF" w:themeFill="background1"/>
        <w:spacing w:after="0" w:line="240" w:lineRule="auto"/>
        <w:ind w:firstLine="480" w:firstLineChars="200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На реализацию муниципальных программ на 202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4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год предусмотрены средства бюджета </w:t>
      </w:r>
      <w:r>
        <w:rPr>
          <w:rFonts w:hint="default" w:ascii="Times New Roman" w:hAnsi="Times New Roman" w:eastAsia="Times New Roman" w:cs="Times New Roman"/>
          <w:kern w:val="36"/>
          <w:sz w:val="24"/>
          <w:szCs w:val="24"/>
          <w:lang w:eastAsia="ru-RU"/>
        </w:rPr>
        <w:t>МО «Старомаклаушинское сельское поселение»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в размере 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920,8626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 тыс. рублей. </w:t>
      </w:r>
    </w:p>
    <w:p w14:paraId="4D3424B0">
      <w:pPr>
        <w:shd w:val="clear" w:color="auto" w:fill="FFFFFF" w:themeFill="background1"/>
        <w:spacing w:after="0" w:line="240" w:lineRule="auto"/>
        <w:ind w:firstLine="480" w:firstLineChars="200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Общий объём освоенных средств по итогам 202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4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года  составил 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919,8626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тыс.рублей, что составляет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99,9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%.</w:t>
      </w:r>
    </w:p>
    <w:p w14:paraId="7BDD13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A9C2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Исполнение расходных обязательств по муниципальным программам муниципальное образование  «Старомаклаушинское сельское поселение»  за 202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tbl>
      <w:tblPr>
        <w:tblStyle w:val="3"/>
        <w:tblpPr w:leftFromText="180" w:rightFromText="180" w:vertAnchor="text" w:horzAnchor="page" w:tblpX="1142" w:tblpY="123"/>
        <w:tblOverlap w:val="never"/>
        <w:tblW w:w="96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4678"/>
        <w:gridCol w:w="1701"/>
        <w:gridCol w:w="1417"/>
        <w:gridCol w:w="1134"/>
      </w:tblGrid>
      <w:tr w14:paraId="4E6D25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7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7127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46D4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EF75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Предусмотрено в бюджете </w:t>
            </w:r>
          </w:p>
          <w:p w14:paraId="1C34637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год,</w:t>
            </w:r>
          </w:p>
          <w:p w14:paraId="3C51FA6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20C0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Исполнение за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14:paraId="00793C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tblHeader/>
        </w:trPr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C5517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EE610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B3421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9FF3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56592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%</w:t>
            </w:r>
          </w:p>
        </w:tc>
      </w:tr>
      <w:tr w14:paraId="32F876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tblHeader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9041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BE64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Благоустройство сельских территорий муниципального образования</w:t>
            </w:r>
          </w:p>
          <w:p w14:paraId="41456F3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«Старомаклаушинское сельское поселение»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1824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92,293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2E1C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90,011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15827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97,5</w:t>
            </w:r>
          </w:p>
        </w:tc>
      </w:tr>
      <w:tr w14:paraId="11820C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tblHeader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CA57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4776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Чистая вода на территории муниципального образования « Старомаклаушинское сельское поселение»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FA71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3878A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49C6D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14:paraId="1B44BF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tblHeader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EE6F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5430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Поддержка местных инициатив в муниципальном образовании « Старомаклаушинское сельское поселение»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001A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829,85160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973C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829,85160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26E19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100,0</w:t>
            </w:r>
          </w:p>
        </w:tc>
      </w:tr>
      <w:tr w14:paraId="56E84D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772FE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6F84CC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  <w:p w14:paraId="3426CBF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Всего в рамках муниципальных программ</w:t>
            </w:r>
          </w:p>
          <w:p w14:paraId="74040FE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C3A1D8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920,8626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64DD1A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919,8626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29FCEE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99,9</w:t>
            </w:r>
          </w:p>
        </w:tc>
      </w:tr>
    </w:tbl>
    <w:p w14:paraId="5F4F93CD">
      <w:pPr>
        <w:spacing w:after="0" w:line="240" w:lineRule="auto"/>
        <w:ind w:left="426" w:firstLine="709"/>
        <w:jc w:val="center"/>
        <w:rPr>
          <w:sz w:val="24"/>
          <w:szCs w:val="24"/>
        </w:rPr>
      </w:pPr>
    </w:p>
    <w:p w14:paraId="6EB472BF">
      <w:pPr>
        <w:spacing w:after="0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0974620E">
      <w:pPr>
        <w:spacing w:after="0" w:line="240" w:lineRule="auto"/>
        <w:ind w:firstLine="709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Сведения об уровне и степени соответствия плановых и достигнутых целевых показателей муниципальных программ и показателей результативности муниципальных программ</w:t>
      </w:r>
    </w:p>
    <w:p w14:paraId="4C83151F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72894254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Текущее управление реализацией муниципальной программы (подпрограмм) осуществлялось муниципальными заказчиками совместно с соисполнителями в соответствии с их компетенцией. Муниципальный заказчик – координатор программы несет ответственность за своевременную и качественную разработку и реализацию муниципальной программы, несет ответственность за достижение значений целевых индикаторов муниципальной программы, а также ожидаемых результатов ее реализации.</w:t>
      </w:r>
    </w:p>
    <w:p w14:paraId="0870A717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Критерии оценки эффективности муниципальной программы:</w:t>
      </w:r>
    </w:p>
    <w:p w14:paraId="66E0ABDE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1.Степень достижения плановых значений целевых индикаторов муниципальной программы.</w:t>
      </w:r>
    </w:p>
    <w:p w14:paraId="4C7F1363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 Степень достижения плановых значений показателей ожидаемого эффекта муниципальной программы.</w:t>
      </w:r>
    </w:p>
    <w:p w14:paraId="2A3882AC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 Степень соотношения фактического и запланированного объема обеспечения реализации мероприятий муниципальной программы.</w:t>
      </w:r>
    </w:p>
    <w:p w14:paraId="329DD3C2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4.Степень эффективности деятельности муниципального заказчика муниципальной программы.</w:t>
      </w:r>
    </w:p>
    <w:p w14:paraId="1B2FEC1F">
      <w:pPr>
        <w:pStyle w:val="12"/>
        <w:tabs>
          <w:tab w:val="left" w:pos="993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212725</wp:posOffset>
            </wp:positionH>
            <wp:positionV relativeFrom="paragraph">
              <wp:posOffset>382270</wp:posOffset>
            </wp:positionV>
            <wp:extent cx="6270625" cy="955675"/>
            <wp:effectExtent l="19050" t="0" r="0" b="0"/>
            <wp:wrapTight wrapText="bothSides">
              <wp:wrapPolygon>
                <wp:start x="0" y="0"/>
                <wp:lineTo x="0" y="21098"/>
                <wp:lineTo x="21523" y="21098"/>
                <wp:lineTo x="21523" y="0"/>
                <wp:lineTo x="0" y="0"/>
              </wp:wrapPolygon>
            </wp:wrapTight>
            <wp:docPr id="4" name="Рисунок 1" descr="C:\Users\u111\Desktop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 descr="C:\Users\u111\Desktop\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39058" b="32410"/>
                    <a:stretch>
                      <a:fillRect/>
                    </a:stretch>
                  </pic:blipFill>
                  <pic:spPr>
                    <a:xfrm>
                      <a:off x="0" y="0"/>
                      <a:ext cx="6270625" cy="95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По итогам оценки эффективности реализации муниципальной программы принимается одно из решений в зависимости от полученного итогового значения: </w:t>
      </w:r>
    </w:p>
    <w:p w14:paraId="12F6C358">
      <w:pPr>
        <w:spacing w:after="0"/>
        <w:ind w:left="567" w:firstLine="142"/>
        <w:jc w:val="both"/>
        <w:rPr>
          <w:szCs w:val="24"/>
        </w:rPr>
      </w:pPr>
    </w:p>
    <w:p w14:paraId="7A35D4C2">
      <w:pPr>
        <w:spacing w:after="0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14:paraId="64C0E8BC">
      <w:pPr>
        <w:suppressAutoHyphens/>
        <w:spacing w:after="0" w:line="240" w:lineRule="auto"/>
        <w:jc w:val="center"/>
        <w:rPr>
          <w:rFonts w:hint="default" w:ascii="Times New Roman" w:hAnsi="Times New Roman" w:cs="Times New Roman"/>
          <w:b/>
          <w:szCs w:val="24"/>
        </w:rPr>
      </w:pPr>
      <w:r>
        <w:rPr>
          <w:rFonts w:hint="default" w:ascii="Times New Roman" w:hAnsi="Times New Roman" w:cs="Times New Roman"/>
          <w:b/>
          <w:szCs w:val="24"/>
        </w:rPr>
        <w:t xml:space="preserve">Степень эффективности реализации </w:t>
      </w:r>
    </w:p>
    <w:p w14:paraId="52FCDD83">
      <w:pPr>
        <w:suppressAutoHyphens/>
        <w:spacing w:after="0" w:line="240" w:lineRule="auto"/>
        <w:jc w:val="center"/>
        <w:rPr>
          <w:rFonts w:hint="default" w:ascii="Times New Roman" w:hAnsi="Times New Roman" w:cs="Times New Roman"/>
          <w:b/>
          <w:szCs w:val="24"/>
        </w:rPr>
      </w:pPr>
      <w:r>
        <w:rPr>
          <w:rFonts w:hint="default" w:ascii="Times New Roman" w:hAnsi="Times New Roman" w:cs="Times New Roman"/>
          <w:b/>
          <w:szCs w:val="24"/>
        </w:rPr>
        <w:t>муниципальных  программ в результате интегральной оценки эффективности реализации муниципальных  программ  МО "</w:t>
      </w:r>
      <w:r>
        <w:rPr>
          <w:rFonts w:hint="default" w:ascii="Times New Roman" w:hAnsi="Times New Roman" w:cs="Times New Roman"/>
          <w:b/>
          <w:szCs w:val="24"/>
          <w:lang w:val="ru-RU"/>
        </w:rPr>
        <w:t>Старомаклаушинское сельское поселение</w:t>
      </w:r>
      <w:r>
        <w:rPr>
          <w:rFonts w:hint="default" w:ascii="Times New Roman" w:hAnsi="Times New Roman" w:cs="Times New Roman"/>
          <w:b/>
          <w:szCs w:val="24"/>
        </w:rPr>
        <w:t>"</w:t>
      </w:r>
    </w:p>
    <w:p w14:paraId="6A4B665C">
      <w:pPr>
        <w:suppressAutoHyphens/>
        <w:spacing w:after="0" w:line="240" w:lineRule="auto"/>
        <w:jc w:val="center"/>
        <w:rPr>
          <w:rFonts w:hint="default" w:ascii="Times New Roman" w:hAnsi="Times New Roman" w:cs="Times New Roman"/>
          <w:b/>
          <w:szCs w:val="24"/>
        </w:rPr>
      </w:pPr>
    </w:p>
    <w:p w14:paraId="50D3EF3C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Cs w:val="24"/>
        </w:rPr>
      </w:pPr>
      <w:r>
        <w:rPr>
          <w:rFonts w:hint="default" w:ascii="Times New Roman" w:hAnsi="Times New Roman" w:cs="Times New Roman"/>
          <w:szCs w:val="24"/>
        </w:rPr>
        <w:t xml:space="preserve">Итогом оценки эффективности </w:t>
      </w:r>
      <w:r>
        <w:rPr>
          <w:rFonts w:hint="default" w:ascii="Times New Roman" w:hAnsi="Times New Roman" w:eastAsia="Calibri" w:cs="Times New Roman"/>
          <w:szCs w:val="24"/>
        </w:rPr>
        <w:t>муниципальных программ</w:t>
      </w:r>
      <w:r>
        <w:rPr>
          <w:rFonts w:hint="default" w:ascii="Times New Roman" w:hAnsi="Times New Roman" w:cs="Times New Roman"/>
          <w:szCs w:val="24"/>
        </w:rPr>
        <w:t xml:space="preserve"> является интегральная оценка эффективности реализации </w:t>
      </w:r>
      <w:r>
        <w:rPr>
          <w:rFonts w:hint="default" w:ascii="Times New Roman" w:hAnsi="Times New Roman" w:eastAsia="Calibri" w:cs="Times New Roman"/>
          <w:szCs w:val="24"/>
        </w:rPr>
        <w:t>муниципальных программ</w:t>
      </w:r>
      <w:r>
        <w:rPr>
          <w:rFonts w:hint="default" w:ascii="Times New Roman" w:hAnsi="Times New Roman" w:cs="Times New Roman"/>
          <w:szCs w:val="24"/>
        </w:rPr>
        <w:t>.</w:t>
      </w:r>
    </w:p>
    <w:p w14:paraId="402503F1">
      <w:pPr>
        <w:spacing w:after="0" w:line="240" w:lineRule="auto"/>
        <w:rPr>
          <w:rFonts w:hint="default" w:ascii="Times New Roman" w:hAnsi="Times New Roman" w:cs="Times New Roman"/>
          <w:b/>
          <w:szCs w:val="24"/>
        </w:rPr>
      </w:pPr>
    </w:p>
    <w:tbl>
      <w:tblPr>
        <w:tblStyle w:val="3"/>
        <w:tblpPr w:leftFromText="180" w:rightFromText="180" w:vertAnchor="text" w:horzAnchor="page" w:tblpX="875" w:tblpY="661"/>
        <w:tblOverlap w:val="never"/>
        <w:tblW w:w="103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229"/>
        <w:gridCol w:w="2410"/>
      </w:tblGrid>
      <w:tr w14:paraId="79AACB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tblHeader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0692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2"/>
                <w:lang w:eastAsia="ru-RU"/>
              </w:rPr>
              <w:t>№ п/п</w:t>
            </w:r>
          </w:p>
        </w:tc>
        <w:tc>
          <w:tcPr>
            <w:tcW w:w="72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8862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2"/>
                <w:lang w:eastAsia="ru-RU"/>
              </w:rPr>
              <w:t>Наименование программы</w:t>
            </w:r>
          </w:p>
        </w:tc>
        <w:tc>
          <w:tcPr>
            <w:tcW w:w="241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</w:tcPr>
          <w:p w14:paraId="7834268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2"/>
                <w:lang w:eastAsia="ru-RU"/>
              </w:rPr>
              <w:t>Оценка эффективности программы                          за 202</w:t>
            </w: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2"/>
                <w:lang w:val="en-US" w:eastAsia="ru-RU"/>
              </w:rPr>
              <w:t>4</w:t>
            </w: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2"/>
                <w:lang w:eastAsia="ru-RU"/>
              </w:rPr>
              <w:t xml:space="preserve"> год</w:t>
            </w:r>
          </w:p>
        </w:tc>
      </w:tr>
      <w:tr w14:paraId="4561FF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tblHeader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8F08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72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CDAB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41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 w14:paraId="62B2245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14:paraId="4384A2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0E3C83">
            <w:pPr>
              <w:pStyle w:val="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D11B3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Cs w:val="24"/>
                <w:lang w:val="ru-RU"/>
              </w:rPr>
              <w:t>Благоустройство сельских территорий муниципального образования</w:t>
            </w:r>
          </w:p>
          <w:p w14:paraId="271900A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default" w:ascii="Times New Roman" w:hAnsi="Times New Roman" w:cs="Times New Roman"/>
                <w:szCs w:val="24"/>
                <w:lang w:val="ru-RU"/>
              </w:rPr>
              <w:t xml:space="preserve"> «Старомаклаушинское сельское поселение»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B5FFF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2"/>
                <w:highlight w:val="yellow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lang w:eastAsia="ru-RU"/>
              </w:rPr>
              <w:t>Степень эффективности ниже среднего уровня</w:t>
            </w:r>
          </w:p>
        </w:tc>
      </w:tr>
      <w:tr w14:paraId="4272A5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7F76C8">
            <w:pPr>
              <w:pStyle w:val="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141D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default" w:ascii="Times New Roman" w:hAnsi="Times New Roman" w:cs="Times New Roman"/>
                <w:szCs w:val="24"/>
                <w:lang w:val="ru-RU"/>
              </w:rPr>
              <w:t>Чистая вода на территории муниципального образования « Старомаклаушинское сельское поселение»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D1BB2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2"/>
                <w:highlight w:val="yellow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lang w:eastAsia="ru-RU"/>
              </w:rPr>
              <w:t>Степень эффективности ниже среднего уровня</w:t>
            </w:r>
          </w:p>
        </w:tc>
      </w:tr>
      <w:tr w14:paraId="6CFAE1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F15660">
            <w:pPr>
              <w:pStyle w:val="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CD43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default" w:ascii="Times New Roman" w:hAnsi="Times New Roman" w:cs="Times New Roman"/>
                <w:szCs w:val="24"/>
                <w:lang w:val="ru-RU"/>
              </w:rPr>
              <w:t>Поддержка местных инициатив в муниципальном образовании « Старомаклаушинское сельское поселение»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E443B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2"/>
                <w:highlight w:val="yellow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lang w:eastAsia="ru-RU"/>
              </w:rPr>
              <w:t>Степень эффективности ниже среднего уровня</w:t>
            </w:r>
          </w:p>
        </w:tc>
      </w:tr>
    </w:tbl>
    <w:p w14:paraId="221EC9DD">
      <w:pPr>
        <w:spacing w:after="0" w:line="240" w:lineRule="auto"/>
        <w:ind w:firstLine="709"/>
        <w:rPr>
          <w:rFonts w:eastAsia="Times New Roman" w:cs="Times New Roman"/>
          <w:szCs w:val="24"/>
          <w:lang w:eastAsia="ru-RU"/>
        </w:rPr>
      </w:pPr>
    </w:p>
    <w:p w14:paraId="1B291CA0">
      <w:pPr>
        <w:spacing w:after="0" w:line="240" w:lineRule="auto"/>
        <w:ind w:left="567" w:firstLine="142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</w:t>
      </w:r>
    </w:p>
    <w:p w14:paraId="3907E77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67B9ADF">
      <w:pPr>
        <w:spacing w:after="0" w:line="240" w:lineRule="auto"/>
        <w:ind w:firstLine="709"/>
        <w:rPr>
          <w:rFonts w:ascii="Times New Roman" w:hAnsi="Times New Roman" w:eastAsia="Times New Roman" w:cs="Times New Roman"/>
        </w:rPr>
      </w:pPr>
    </w:p>
    <w:p w14:paraId="4DCEAE9C">
      <w:pPr>
        <w:spacing w:after="0" w:line="240" w:lineRule="auto"/>
        <w:ind w:firstLine="709"/>
        <w:rPr>
          <w:rFonts w:ascii="Times New Roman" w:hAnsi="Times New Roman" w:eastAsia="Times New Roman" w:cs="Times New Roman"/>
        </w:rPr>
      </w:pPr>
    </w:p>
    <w:p w14:paraId="2C803869"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Исполнение  муниципальных программ муниципального образования «Старомаклаушинское сельское поселение» за 202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ru-RU"/>
        </w:rPr>
        <w:t>4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 год:</w:t>
      </w:r>
    </w:p>
    <w:p w14:paraId="3375040E">
      <w:pPr>
        <w:pStyle w:val="7"/>
        <w:spacing w:after="0" w:line="240" w:lineRule="auto"/>
        <w:rPr>
          <w:rFonts w:cs="Times New Roman"/>
          <w:b/>
          <w:sz w:val="22"/>
        </w:rPr>
      </w:pPr>
    </w:p>
    <w:p w14:paraId="626B2417">
      <w:pPr>
        <w:pStyle w:val="7"/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1.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Благоустройство сельских территорий муниципального образования «Старомаклаушинское сельское поселение»</w:t>
      </w:r>
    </w:p>
    <w:p w14:paraId="6CD11403">
      <w:pPr>
        <w:spacing w:after="0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 исполнитель муниципальной программы – администрация МО «Старомаклаушинское сельское  поселение» Майнского района Ульяновской области. Срок реализации программы 2023-2025 годы.</w:t>
      </w:r>
    </w:p>
    <w:p w14:paraId="05B9919F">
      <w:pPr>
        <w:spacing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На реализацию  муниципальной программы запланировано выделение денежных средств из бюджета МО «</w:t>
      </w:r>
      <w:r>
        <w:rPr>
          <w:rFonts w:ascii="Times New Roman" w:hAnsi="Times New Roman" w:cs="Times New Roman"/>
          <w:sz w:val="24"/>
          <w:szCs w:val="24"/>
        </w:rPr>
        <w:t>Старомаклаушинское сельское  поселение</w:t>
      </w:r>
      <w:r>
        <w:rPr>
          <w:rFonts w:ascii="Times New Roman" w:hAnsi="Times New Roman" w:eastAsia="Times New Roman" w:cs="Times New Roman"/>
          <w:sz w:val="24"/>
          <w:szCs w:val="24"/>
        </w:rPr>
        <w:t>»  в объёме 25,102 тыс. рублей.</w:t>
      </w:r>
    </w:p>
    <w:p w14:paraId="2851BF0F">
      <w:pPr>
        <w:spacing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 отчётном периоде освоение средств бюджета составило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90,011тыс. Рублей,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что составляет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97,5</w:t>
      </w:r>
      <w:r>
        <w:rPr>
          <w:rFonts w:ascii="Times New Roman" w:hAnsi="Times New Roman" w:eastAsia="Times New Roman" w:cs="Times New Roman"/>
          <w:sz w:val="24"/>
          <w:szCs w:val="24"/>
        </w:rPr>
        <w:t>% от запланированного объёма финансирования.</w:t>
      </w:r>
    </w:p>
    <w:p w14:paraId="6E27CCE6">
      <w:pPr>
        <w:spacing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 рамках реализации программы в  202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году профинансированы следующие мероприятия:</w:t>
      </w:r>
    </w:p>
    <w:p w14:paraId="7D75BF96">
      <w:pPr>
        <w:spacing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-организация ритуальных услуг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 содержания мест захоронения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– 0,0 тыс.рублей;</w:t>
      </w:r>
    </w:p>
    <w:p w14:paraId="0616765C">
      <w:pPr>
        <w:spacing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-организация  сбора и вывоза  бытовых отходов и мусора  -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90,011</w:t>
      </w:r>
      <w:r>
        <w:rPr>
          <w:rFonts w:ascii="Times New Roman" w:hAnsi="Times New Roman" w:eastAsia="Times New Roman" w:cs="Times New Roman"/>
          <w:sz w:val="24"/>
          <w:szCs w:val="24"/>
        </w:rPr>
        <w:t>тыс.рублей;</w:t>
      </w:r>
    </w:p>
    <w:p w14:paraId="20B169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 рамках реализации программы в  202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году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установили (заменили) 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ru-RU"/>
        </w:rPr>
        <w:t>4790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м.кв. уличного освещения:</w:t>
      </w:r>
    </w:p>
    <w:p w14:paraId="115BF0D9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</w:t>
      </w:r>
    </w:p>
    <w:p w14:paraId="5C014539">
      <w:pPr>
        <w:spacing w:after="0" w:line="240" w:lineRule="auto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</w:p>
    <w:tbl>
      <w:tblPr>
        <w:tblStyle w:val="3"/>
        <w:tblW w:w="10348" w:type="dxa"/>
        <w:tblInd w:w="-47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980"/>
        <w:gridCol w:w="1017"/>
        <w:gridCol w:w="1066"/>
        <w:gridCol w:w="884"/>
        <w:gridCol w:w="850"/>
        <w:gridCol w:w="2592"/>
      </w:tblGrid>
      <w:tr w14:paraId="1D4A5B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59" w:type="dxa"/>
          </w:tcPr>
          <w:p w14:paraId="5D5F5214">
            <w:pPr>
              <w:jc w:val="center"/>
              <w:rPr>
                <w:rFonts w:ascii="Times New Roman" w:hAnsi="Times New Roman" w:eastAsia="Times New Roman" w:cs="Times New Roman"/>
                <w:b/>
                <w:color w:val="2C2C2C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C2C2C"/>
              </w:rPr>
              <w:t>№</w:t>
            </w:r>
            <w:r>
              <w:rPr>
                <w:rFonts w:ascii="Times New Roman" w:hAnsi="Times New Roman" w:eastAsia="Times New Roman" w:cs="Times New Roman"/>
                <w:b/>
                <w:bCs/>
                <w:color w:val="2C2C2C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bCs/>
                <w:color w:val="2C2C2C"/>
              </w:rPr>
              <w:t>п/п</w:t>
            </w:r>
          </w:p>
        </w:tc>
        <w:tc>
          <w:tcPr>
            <w:tcW w:w="2980" w:type="dxa"/>
          </w:tcPr>
          <w:p w14:paraId="58A9194A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2C2C2C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C2C2C"/>
              </w:rPr>
              <w:t>Наименование</w:t>
            </w:r>
          </w:p>
          <w:p w14:paraId="540B0A0A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2C2C2C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C2C2C"/>
              </w:rPr>
              <w:t>Целевого показателя</w:t>
            </w:r>
          </w:p>
        </w:tc>
        <w:tc>
          <w:tcPr>
            <w:tcW w:w="1017" w:type="dxa"/>
          </w:tcPr>
          <w:p w14:paraId="5E3FCD9F">
            <w:pPr>
              <w:jc w:val="center"/>
              <w:rPr>
                <w:rFonts w:ascii="Times New Roman" w:hAnsi="Times New Roman" w:eastAsia="Times New Roman" w:cs="Times New Roman"/>
                <w:b/>
                <w:color w:val="2C2C2C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C2C2C"/>
              </w:rPr>
              <w:t>Ед. </w:t>
            </w:r>
            <w:r>
              <w:rPr>
                <w:rFonts w:ascii="Times New Roman" w:hAnsi="Times New Roman" w:eastAsia="Times New Roman" w:cs="Times New Roman"/>
                <w:b/>
                <w:bCs/>
                <w:color w:val="2C2C2C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bCs/>
                <w:color w:val="2C2C2C"/>
              </w:rPr>
              <w:t>изм.</w:t>
            </w:r>
          </w:p>
        </w:tc>
        <w:tc>
          <w:tcPr>
            <w:tcW w:w="1066" w:type="dxa"/>
          </w:tcPr>
          <w:p w14:paraId="594C2630">
            <w:pPr>
              <w:jc w:val="center"/>
              <w:rPr>
                <w:rFonts w:ascii="Times New Roman" w:hAnsi="Times New Roman" w:eastAsia="Times New Roman" w:cs="Times New Roman"/>
                <w:b/>
                <w:color w:val="2C2C2C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C2C2C"/>
              </w:rPr>
              <w:t>План</w:t>
            </w:r>
          </w:p>
        </w:tc>
        <w:tc>
          <w:tcPr>
            <w:tcW w:w="884" w:type="dxa"/>
          </w:tcPr>
          <w:p w14:paraId="0C87D67C">
            <w:pPr>
              <w:jc w:val="center"/>
              <w:rPr>
                <w:rFonts w:ascii="Times New Roman" w:hAnsi="Times New Roman" w:eastAsia="Times New Roman" w:cs="Times New Roman"/>
                <w:b/>
                <w:color w:val="2C2C2C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C2C2C"/>
              </w:rPr>
              <w:t>Факт</w:t>
            </w:r>
          </w:p>
        </w:tc>
        <w:tc>
          <w:tcPr>
            <w:tcW w:w="850" w:type="dxa"/>
          </w:tcPr>
          <w:p w14:paraId="29149FD4">
            <w:pPr>
              <w:jc w:val="center"/>
              <w:rPr>
                <w:rFonts w:ascii="Times New Roman" w:hAnsi="Times New Roman" w:eastAsia="Times New Roman" w:cs="Times New Roman"/>
                <w:b/>
                <w:color w:val="2C2C2C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C2C2C"/>
              </w:rPr>
              <w:t>%</w:t>
            </w:r>
          </w:p>
        </w:tc>
        <w:tc>
          <w:tcPr>
            <w:tcW w:w="2592" w:type="dxa"/>
          </w:tcPr>
          <w:p w14:paraId="5CC4DC2C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2C2C2C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C2C2C"/>
              </w:rPr>
              <w:t>Источник информации</w:t>
            </w:r>
          </w:p>
        </w:tc>
      </w:tr>
      <w:tr w14:paraId="2323BA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9" w:hRule="atLeast"/>
        </w:trPr>
        <w:tc>
          <w:tcPr>
            <w:tcW w:w="959" w:type="dxa"/>
          </w:tcPr>
          <w:p w14:paraId="6D5D1BAF">
            <w:pPr>
              <w:pStyle w:val="7"/>
              <w:numPr>
                <w:ilvl w:val="0"/>
                <w:numId w:val="2"/>
              </w:numPr>
              <w:spacing w:after="96" w:line="255" w:lineRule="atLeast"/>
              <w:jc w:val="center"/>
              <w:rPr>
                <w:rFonts w:eastAsia="Times New Roman" w:cs="Times New Roman"/>
                <w:color w:val="2C2C2C"/>
                <w:sz w:val="22"/>
                <w:lang w:eastAsia="ru-RU"/>
              </w:rPr>
            </w:pPr>
          </w:p>
        </w:tc>
        <w:tc>
          <w:tcPr>
            <w:tcW w:w="2980" w:type="dxa"/>
          </w:tcPr>
          <w:p w14:paraId="03BD9B37">
            <w:pPr>
              <w:spacing w:after="96" w:line="255" w:lineRule="atLeast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>Ремонт и содержание фонарей уличного освещения (замена)</w:t>
            </w:r>
          </w:p>
        </w:tc>
        <w:tc>
          <w:tcPr>
            <w:tcW w:w="1017" w:type="dxa"/>
          </w:tcPr>
          <w:p w14:paraId="39C0B86B">
            <w:pPr>
              <w:spacing w:after="96" w:line="255" w:lineRule="atLeast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М.кв</w:t>
            </w:r>
          </w:p>
        </w:tc>
        <w:tc>
          <w:tcPr>
            <w:tcW w:w="1066" w:type="dxa"/>
          </w:tcPr>
          <w:p w14:paraId="147E7002">
            <w:pPr>
              <w:spacing w:after="96" w:line="255" w:lineRule="atLeast"/>
              <w:jc w:val="center"/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4790</w:t>
            </w:r>
          </w:p>
        </w:tc>
        <w:tc>
          <w:tcPr>
            <w:tcW w:w="884" w:type="dxa"/>
          </w:tcPr>
          <w:p w14:paraId="45D9F42B">
            <w:pPr>
              <w:spacing w:after="96" w:line="255" w:lineRule="atLeast"/>
              <w:jc w:val="center"/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4790</w:t>
            </w:r>
          </w:p>
        </w:tc>
        <w:tc>
          <w:tcPr>
            <w:tcW w:w="850" w:type="dxa"/>
          </w:tcPr>
          <w:p w14:paraId="62CCAEA3">
            <w:pPr>
              <w:spacing w:after="96" w:line="255" w:lineRule="atLeast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100</w:t>
            </w:r>
          </w:p>
        </w:tc>
        <w:tc>
          <w:tcPr>
            <w:tcW w:w="2592" w:type="dxa"/>
          </w:tcPr>
          <w:p w14:paraId="0576F610">
            <w:pPr>
              <w:spacing w:after="96" w:line="255" w:lineRule="atLeast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Данные администрации МО «Старомаклаушинское с/п».</w:t>
            </w:r>
          </w:p>
          <w:p w14:paraId="6E3F128F">
            <w:pPr>
              <w:spacing w:after="96" w:line="255" w:lineRule="atLeast"/>
              <w:jc w:val="left"/>
              <w:rPr>
                <w:rFonts w:hint="default" w:ascii="Times New Roman" w:hAnsi="Times New Roman" w:eastAsia="Times New Roman" w:cs="Times New Roman"/>
                <w:lang w:val="ru-RU"/>
              </w:rPr>
            </w:pPr>
          </w:p>
        </w:tc>
      </w:tr>
      <w:tr w14:paraId="7D2529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59" w:type="dxa"/>
            <w:tcBorders>
              <w:bottom w:val="single" w:color="auto" w:sz="4" w:space="0"/>
            </w:tcBorders>
          </w:tcPr>
          <w:p w14:paraId="67A29361">
            <w:pPr>
              <w:pStyle w:val="7"/>
              <w:numPr>
                <w:ilvl w:val="0"/>
                <w:numId w:val="2"/>
              </w:numPr>
              <w:spacing w:after="96" w:line="255" w:lineRule="atLeast"/>
              <w:jc w:val="center"/>
              <w:rPr>
                <w:rFonts w:eastAsia="Times New Roman" w:cs="Times New Roman"/>
                <w:color w:val="2C2C2C"/>
                <w:sz w:val="22"/>
                <w:lang w:eastAsia="ru-RU"/>
              </w:rPr>
            </w:pPr>
          </w:p>
        </w:tc>
        <w:tc>
          <w:tcPr>
            <w:tcW w:w="2980" w:type="dxa"/>
            <w:tcBorders>
              <w:bottom w:val="single" w:color="auto" w:sz="4" w:space="0"/>
            </w:tcBorders>
          </w:tcPr>
          <w:p w14:paraId="7ED5A877">
            <w:pPr>
              <w:spacing w:after="96" w:line="255" w:lineRule="atLeast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Увеличение доли обустроенных контейнерных площадок</w:t>
            </w:r>
          </w:p>
        </w:tc>
        <w:tc>
          <w:tcPr>
            <w:tcW w:w="1017" w:type="dxa"/>
            <w:tcBorders>
              <w:bottom w:val="single" w:color="auto" w:sz="4" w:space="0"/>
            </w:tcBorders>
          </w:tcPr>
          <w:p w14:paraId="1824082E">
            <w:pPr>
              <w:spacing w:after="96" w:line="255" w:lineRule="atLeast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шт</w:t>
            </w:r>
          </w:p>
        </w:tc>
        <w:tc>
          <w:tcPr>
            <w:tcW w:w="1066" w:type="dxa"/>
            <w:tcBorders>
              <w:bottom w:val="single" w:color="auto" w:sz="4" w:space="0"/>
            </w:tcBorders>
          </w:tcPr>
          <w:p w14:paraId="506E163D">
            <w:pPr>
              <w:spacing w:after="96" w:line="255" w:lineRule="atLeast"/>
              <w:jc w:val="center"/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10</w:t>
            </w:r>
          </w:p>
        </w:tc>
        <w:tc>
          <w:tcPr>
            <w:tcW w:w="884" w:type="dxa"/>
            <w:tcBorders>
              <w:bottom w:val="single" w:color="auto" w:sz="4" w:space="0"/>
            </w:tcBorders>
          </w:tcPr>
          <w:p w14:paraId="30DDBB81">
            <w:pPr>
              <w:spacing w:after="96" w:line="255" w:lineRule="atLeast"/>
              <w:jc w:val="center"/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6</w:t>
            </w:r>
          </w:p>
        </w:tc>
        <w:tc>
          <w:tcPr>
            <w:tcW w:w="850" w:type="dxa"/>
            <w:tcBorders>
              <w:bottom w:val="single" w:color="auto" w:sz="4" w:space="0"/>
            </w:tcBorders>
          </w:tcPr>
          <w:p w14:paraId="2029DF0A">
            <w:pPr>
              <w:spacing w:after="96" w:line="255" w:lineRule="atLeast"/>
              <w:jc w:val="center"/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60</w:t>
            </w:r>
          </w:p>
        </w:tc>
        <w:tc>
          <w:tcPr>
            <w:tcW w:w="2592" w:type="dxa"/>
            <w:tcBorders>
              <w:bottom w:val="single" w:color="auto" w:sz="4" w:space="0"/>
            </w:tcBorders>
          </w:tcPr>
          <w:p w14:paraId="4FDD997B">
            <w:pPr>
              <w:spacing w:after="96" w:line="255" w:lineRule="atLeast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Данные администрации МО</w:t>
            </w:r>
            <w:r>
              <w:rPr>
                <w:rFonts w:hint="default" w:ascii="Times New Roman" w:hAnsi="Times New Roman" w:eastAsia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«</w:t>
            </w:r>
            <w:r>
              <w:rPr>
                <w:rFonts w:ascii="Times New Roman" w:hAnsi="Times New Roman" w:eastAsia="Times New Roman" w:cs="Times New Roman"/>
                <w:lang w:val="ru-RU"/>
              </w:rPr>
              <w:t>С</w:t>
            </w:r>
            <w:r>
              <w:rPr>
                <w:rFonts w:ascii="Times New Roman" w:hAnsi="Times New Roman" w:eastAsia="Times New Roman" w:cs="Times New Roman"/>
              </w:rPr>
              <w:t>таромаклаушинское с/п»</w:t>
            </w:r>
          </w:p>
          <w:p w14:paraId="13D751D9">
            <w:pPr>
              <w:numPr>
                <w:ilvl w:val="0"/>
                <w:numId w:val="3"/>
              </w:numPr>
              <w:spacing w:after="96" w:line="255" w:lineRule="atLeast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Приобретение товара для ограждения площадок ТКО о 03.04.2024г.</w:t>
            </w:r>
          </w:p>
          <w:p w14:paraId="75ED207B">
            <w:pPr>
              <w:numPr>
                <w:ilvl w:val="0"/>
                <w:numId w:val="3"/>
              </w:numPr>
              <w:spacing w:after="96" w:line="255" w:lineRule="atLeast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Выполнение работ по установке контейнерных площадок от 04.04.2024г № 9</w:t>
            </w:r>
          </w:p>
        </w:tc>
      </w:tr>
      <w:tr w14:paraId="2B038B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9" w:type="dxa"/>
            <w:tcBorders>
              <w:top w:val="single" w:color="auto" w:sz="4" w:space="0"/>
            </w:tcBorders>
          </w:tcPr>
          <w:p w14:paraId="2F398C83">
            <w:pPr>
              <w:pStyle w:val="7"/>
              <w:numPr>
                <w:ilvl w:val="0"/>
                <w:numId w:val="2"/>
              </w:numPr>
              <w:spacing w:after="96" w:line="255" w:lineRule="atLeast"/>
              <w:jc w:val="center"/>
              <w:rPr>
                <w:rFonts w:eastAsia="Times New Roman" w:cs="Times New Roman"/>
                <w:color w:val="2C2C2C"/>
                <w:sz w:val="22"/>
                <w:lang w:eastAsia="ru-RU"/>
              </w:rPr>
            </w:pPr>
          </w:p>
        </w:tc>
        <w:tc>
          <w:tcPr>
            <w:tcW w:w="2980" w:type="dxa"/>
            <w:tcBorders>
              <w:top w:val="single" w:color="auto" w:sz="4" w:space="0"/>
            </w:tcBorders>
          </w:tcPr>
          <w:p w14:paraId="21173C70">
            <w:pPr>
              <w:spacing w:after="96" w:line="255" w:lineRule="atLeast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Обустройство и содержание мест захоронения в соответствии с правилами содержания мест захоронения </w:t>
            </w:r>
          </w:p>
        </w:tc>
        <w:tc>
          <w:tcPr>
            <w:tcW w:w="1017" w:type="dxa"/>
            <w:tcBorders>
              <w:top w:val="single" w:color="auto" w:sz="4" w:space="0"/>
            </w:tcBorders>
          </w:tcPr>
          <w:p w14:paraId="6DBE347F">
            <w:pPr>
              <w:spacing w:after="96" w:line="255" w:lineRule="atLeast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М.кв</w:t>
            </w:r>
          </w:p>
        </w:tc>
        <w:tc>
          <w:tcPr>
            <w:tcW w:w="1066" w:type="dxa"/>
            <w:tcBorders>
              <w:top w:val="single" w:color="auto" w:sz="4" w:space="0"/>
            </w:tcBorders>
          </w:tcPr>
          <w:p w14:paraId="6CD5C421">
            <w:pPr>
              <w:spacing w:after="96" w:line="255" w:lineRule="atLeast"/>
              <w:jc w:val="center"/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4350</w:t>
            </w:r>
          </w:p>
        </w:tc>
        <w:tc>
          <w:tcPr>
            <w:tcW w:w="884" w:type="dxa"/>
            <w:tcBorders>
              <w:top w:val="single" w:color="auto" w:sz="4" w:space="0"/>
            </w:tcBorders>
          </w:tcPr>
          <w:p w14:paraId="37772760">
            <w:pPr>
              <w:spacing w:after="96" w:line="255" w:lineRule="atLeast"/>
              <w:jc w:val="center"/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4350</w:t>
            </w:r>
          </w:p>
        </w:tc>
        <w:tc>
          <w:tcPr>
            <w:tcW w:w="850" w:type="dxa"/>
            <w:tcBorders>
              <w:top w:val="single" w:color="auto" w:sz="4" w:space="0"/>
            </w:tcBorders>
          </w:tcPr>
          <w:p w14:paraId="71D821E7">
            <w:pPr>
              <w:spacing w:after="96" w:line="255" w:lineRule="atLeas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100</w:t>
            </w:r>
          </w:p>
        </w:tc>
        <w:tc>
          <w:tcPr>
            <w:tcW w:w="2592" w:type="dxa"/>
            <w:tcBorders>
              <w:top w:val="single" w:color="auto" w:sz="4" w:space="0"/>
            </w:tcBorders>
          </w:tcPr>
          <w:p w14:paraId="0498F9E0">
            <w:pPr>
              <w:spacing w:after="96" w:line="255" w:lineRule="atLeast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Данные администрации МО «</w:t>
            </w:r>
            <w:r>
              <w:rPr>
                <w:rFonts w:ascii="Times New Roman" w:hAnsi="Times New Roman" w:eastAsia="Times New Roman" w:cs="Times New Roman"/>
                <w:lang w:val="ru-RU"/>
              </w:rPr>
              <w:t>С</w:t>
            </w:r>
            <w:r>
              <w:rPr>
                <w:rFonts w:ascii="Times New Roman" w:hAnsi="Times New Roman" w:eastAsia="Times New Roman" w:cs="Times New Roman"/>
              </w:rPr>
              <w:t>таромаклаушинское с/п»</w:t>
            </w:r>
          </w:p>
        </w:tc>
      </w:tr>
    </w:tbl>
    <w:p w14:paraId="43A35060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</w:rPr>
      </w:pPr>
    </w:p>
    <w:p w14:paraId="52FA2259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</w:p>
    <w:p w14:paraId="258E049A">
      <w:pPr>
        <w:spacing w:after="0" w:line="240" w:lineRule="auto"/>
        <w:jc w:val="center"/>
        <w:rPr>
          <w:rFonts w:hint="default" w:ascii="Times New Roman" w:hAnsi="Times New Roman" w:cs="Times New Roman"/>
          <w:b/>
          <w:szCs w:val="24"/>
        </w:rPr>
      </w:pPr>
      <w:r>
        <w:rPr>
          <w:rFonts w:hint="default" w:ascii="Times New Roman" w:hAnsi="Times New Roman" w:cs="Times New Roman"/>
          <w:b/>
          <w:szCs w:val="24"/>
        </w:rPr>
        <w:t>Результаты эффективности реализации программы  в 202</w:t>
      </w:r>
      <w:r>
        <w:rPr>
          <w:rFonts w:hint="default" w:ascii="Times New Roman" w:hAnsi="Times New Roman" w:cs="Times New Roman"/>
          <w:b/>
          <w:szCs w:val="24"/>
          <w:lang w:val="ru-RU"/>
        </w:rPr>
        <w:t>4</w:t>
      </w:r>
      <w:r>
        <w:rPr>
          <w:rFonts w:hint="default" w:ascii="Times New Roman" w:hAnsi="Times New Roman" w:cs="Times New Roman"/>
          <w:b/>
          <w:szCs w:val="24"/>
        </w:rPr>
        <w:t xml:space="preserve"> году</w:t>
      </w:r>
    </w:p>
    <w:tbl>
      <w:tblPr>
        <w:tblStyle w:val="3"/>
        <w:tblpPr w:leftFromText="180" w:rightFromText="180" w:vertAnchor="text" w:horzAnchor="page" w:tblpX="1063" w:tblpY="295"/>
        <w:tblOverlap w:val="never"/>
        <w:tblW w:w="1064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4"/>
        <w:gridCol w:w="3078"/>
        <w:gridCol w:w="895"/>
        <w:gridCol w:w="1655"/>
        <w:gridCol w:w="1843"/>
      </w:tblGrid>
      <w:tr w14:paraId="723461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31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EAF1DD"/>
          </w:tcPr>
          <w:p w14:paraId="2F0D8091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lang w:eastAsia="ru-RU"/>
              </w:rPr>
              <w:t>Эффективность реализации МП, %</w:t>
            </w:r>
          </w:p>
        </w:tc>
        <w:tc>
          <w:tcPr>
            <w:tcW w:w="397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99"/>
          </w:tcPr>
          <w:p w14:paraId="3A8303B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lang w:eastAsia="ru-RU"/>
              </w:rPr>
              <w:t>65,106</w:t>
            </w:r>
          </w:p>
        </w:tc>
        <w:tc>
          <w:tcPr>
            <w:tcW w:w="349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99"/>
          </w:tcPr>
          <w:p w14:paraId="2E8EF77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lang w:eastAsia="ru-RU"/>
              </w:rPr>
              <w:t>Ниже среднего  степень  эффективность</w:t>
            </w:r>
          </w:p>
        </w:tc>
      </w:tr>
      <w:tr w14:paraId="40C398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31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EAF1DD"/>
          </w:tcPr>
          <w:p w14:paraId="2CF839DE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lang w:eastAsia="ru-RU"/>
              </w:rPr>
              <w:t>Достижение целевых индикаторов МП, %</w:t>
            </w:r>
          </w:p>
        </w:tc>
        <w:tc>
          <w:tcPr>
            <w:tcW w:w="747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99"/>
          </w:tcPr>
          <w:p w14:paraId="312F8E8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lang w:eastAsia="ru-RU"/>
              </w:rPr>
              <w:t>102,50%</w:t>
            </w:r>
          </w:p>
        </w:tc>
      </w:tr>
      <w:tr w14:paraId="6CFC26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31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EAF1DD"/>
          </w:tcPr>
          <w:p w14:paraId="29DB627A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lang w:eastAsia="ru-RU"/>
              </w:rPr>
              <w:t>Достижение показателей ожидаемого результата реализации МП, %</w:t>
            </w:r>
          </w:p>
        </w:tc>
        <w:tc>
          <w:tcPr>
            <w:tcW w:w="747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99"/>
          </w:tcPr>
          <w:p w14:paraId="71D0CE3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lang w:eastAsia="ru-RU"/>
              </w:rPr>
              <w:t>0,00%</w:t>
            </w:r>
          </w:p>
        </w:tc>
      </w:tr>
      <w:tr w14:paraId="5EFBD0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3174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000000" w:fill="EAF1DD"/>
          </w:tcPr>
          <w:p w14:paraId="7A39DEB3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lang w:eastAsia="ru-RU"/>
              </w:rPr>
              <w:t>Степень эффективности деятельности МЗ</w:t>
            </w:r>
          </w:p>
        </w:tc>
        <w:tc>
          <w:tcPr>
            <w:tcW w:w="307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000000" w:fill="FFFF99"/>
          </w:tcPr>
          <w:p w14:paraId="0BE24CC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000000" w:fill="FFFF99"/>
          </w:tcPr>
          <w:p w14:paraId="0C8EEE9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lang w:eastAsia="ru-RU"/>
              </w:rPr>
              <w:t>65,00%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000000" w:fill="FFFF99"/>
          </w:tcPr>
          <w:p w14:paraId="74E02C1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99"/>
          </w:tcPr>
          <w:p w14:paraId="50A1D2D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14:paraId="5F44CC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17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EAF1DD"/>
          </w:tcPr>
          <w:p w14:paraId="6AF3536C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lang w:eastAsia="ru-RU"/>
              </w:rPr>
              <w:t>Общий объём финансирования МП, тыс. рублей</w:t>
            </w:r>
          </w:p>
        </w:tc>
        <w:tc>
          <w:tcPr>
            <w:tcW w:w="3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EAF1DD"/>
          </w:tcPr>
          <w:p w14:paraId="1C42872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lang w:eastAsia="ru-RU"/>
              </w:rPr>
              <w:t>План</w:t>
            </w:r>
          </w:p>
        </w:tc>
        <w:tc>
          <w:tcPr>
            <w:tcW w:w="255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EAF1DD"/>
          </w:tcPr>
          <w:p w14:paraId="6E5B767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lang w:eastAsia="ru-RU"/>
              </w:rPr>
              <w:t>Факт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99"/>
          </w:tcPr>
          <w:p w14:paraId="490804D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lang w:eastAsia="ru-RU"/>
              </w:rPr>
              <w:t>% исполнения</w:t>
            </w:r>
          </w:p>
        </w:tc>
      </w:tr>
      <w:tr w14:paraId="14C842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17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B21186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39A1B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lang w:val="en-US" w:eastAsia="ru-RU"/>
              </w:rPr>
              <w:t>92,282</w:t>
            </w:r>
          </w:p>
        </w:tc>
        <w:tc>
          <w:tcPr>
            <w:tcW w:w="25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EAF1DD"/>
          </w:tcPr>
          <w:p w14:paraId="296427B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lang w:val="en-US" w:eastAsia="ru-RU"/>
              </w:rPr>
              <w:t>90,011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0EA1CC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lang w:eastAsia="ru-RU"/>
              </w:rPr>
              <w:t>97,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lang w:val="en-US" w:eastAsia="ru-RU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lang w:eastAsia="ru-RU"/>
              </w:rPr>
              <w:t>%</w:t>
            </w:r>
          </w:p>
        </w:tc>
      </w:tr>
    </w:tbl>
    <w:p w14:paraId="7C782487">
      <w:pPr>
        <w:tabs>
          <w:tab w:val="left" w:pos="0"/>
        </w:tabs>
        <w:spacing w:after="0"/>
        <w:ind w:left="567" w:firstLine="142"/>
        <w:contextualSpacing/>
        <w:jc w:val="both"/>
        <w:rPr>
          <w:b/>
          <w:i/>
          <w:szCs w:val="24"/>
          <w:shd w:val="clear" w:color="auto" w:fill="FFFFFF"/>
        </w:rPr>
      </w:pPr>
    </w:p>
    <w:p w14:paraId="099A894A">
      <w:pPr>
        <w:tabs>
          <w:tab w:val="left" w:pos="0"/>
        </w:tabs>
        <w:spacing w:after="0"/>
        <w:ind w:left="567" w:firstLine="142"/>
        <w:contextualSpacing/>
        <w:jc w:val="both"/>
        <w:rPr>
          <w:b/>
          <w:i/>
          <w:szCs w:val="24"/>
          <w:shd w:val="clear" w:color="auto" w:fill="FFFFFF"/>
        </w:rPr>
      </w:pPr>
    </w:p>
    <w:p w14:paraId="5E3B4A9F">
      <w:pPr>
        <w:tabs>
          <w:tab w:val="left" w:pos="0"/>
        </w:tabs>
        <w:spacing w:after="0"/>
        <w:ind w:left="567" w:firstLine="142"/>
        <w:contextualSpacing/>
        <w:jc w:val="both"/>
        <w:rPr>
          <w:rFonts w:hint="default" w:ascii="Times New Roman" w:hAnsi="Times New Roman" w:cs="Times New Roman"/>
          <w:b/>
          <w:i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Вывод:  </w:t>
      </w:r>
    </w:p>
    <w:p w14:paraId="348C1007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 итогам проведенного мониторинга за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 xml:space="preserve"> год оценка эффективности реализации муниципальной программы  составила 65,1%, степень эффективности характеризуется как «ниже среднего».</w:t>
      </w:r>
    </w:p>
    <w:p w14:paraId="1D392B13">
      <w:pPr>
        <w:pStyle w:val="7"/>
        <w:spacing w:after="0" w:line="240" w:lineRule="auto"/>
        <w:ind w:left="0"/>
        <w:jc w:val="both"/>
        <w:rPr>
          <w:rFonts w:ascii="PT Astra Serif" w:hAnsi="PT Astra Serif"/>
          <w:color w:val="000000" w:themeColor="text1"/>
          <w:szCs w:val="28"/>
        </w:rPr>
      </w:pPr>
      <w:r>
        <w:rPr>
          <w:rFonts w:ascii="PT Astra Serif" w:hAnsi="PT Astra Serif"/>
          <w:color w:val="000000" w:themeColor="text1"/>
          <w:szCs w:val="28"/>
        </w:rPr>
        <w:tab/>
      </w:r>
      <w:r>
        <w:rPr>
          <w:rFonts w:ascii="PT Astra Serif" w:hAnsi="PT Astra Serif"/>
          <w:color w:val="000000" w:themeColor="text1"/>
          <w:szCs w:val="28"/>
        </w:rPr>
        <w:t>В целях обеспечения достижения плановых значений целевых индикаторов, а также показателей, характеризующих ожидаемые результаты реализации муниципальной программы, исполнителю рекомендуется:</w:t>
      </w:r>
    </w:p>
    <w:p w14:paraId="49CD0DF0">
      <w:pPr>
        <w:pStyle w:val="7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PT Astra Serif" w:hAnsi="PT Astra Serif"/>
          <w:color w:val="000000" w:themeColor="text1"/>
          <w:szCs w:val="28"/>
        </w:rPr>
      </w:pPr>
      <w:r>
        <w:rPr>
          <w:rFonts w:ascii="PT Astra Serif" w:hAnsi="PT Astra Serif"/>
          <w:color w:val="000000" w:themeColor="text1"/>
          <w:szCs w:val="28"/>
        </w:rPr>
        <w:t>организовать работу в части</w:t>
      </w:r>
      <w:r>
        <w:t xml:space="preserve"> дополнения муниципальной программы ожидаемыми показателями</w:t>
      </w:r>
      <w:r>
        <w:rPr>
          <w:rFonts w:ascii="PT Astra Serif" w:hAnsi="PT Astra Serif"/>
          <w:color w:val="000000" w:themeColor="text1"/>
          <w:szCs w:val="28"/>
        </w:rPr>
        <w:t>;</w:t>
      </w:r>
    </w:p>
    <w:p w14:paraId="35AF07D1">
      <w:pPr>
        <w:pStyle w:val="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PT Astra Serif" w:hAnsi="PT Astra Serif"/>
          <w:color w:val="000000" w:themeColor="text1"/>
          <w:szCs w:val="28"/>
        </w:rPr>
      </w:pPr>
      <w:r>
        <w:rPr>
          <w:rFonts w:ascii="PT Astra Serif" w:hAnsi="PT Astra Serif"/>
          <w:color w:val="000000" w:themeColor="text1"/>
          <w:szCs w:val="28"/>
        </w:rPr>
        <w:t>организовать работу в части</w:t>
      </w:r>
      <w:r>
        <w:t xml:space="preserve"> </w:t>
      </w:r>
      <w:r>
        <w:rPr>
          <w:rFonts w:ascii="PT Astra Serif" w:hAnsi="PT Astra Serif"/>
          <w:color w:val="000000" w:themeColor="text1"/>
          <w:szCs w:val="28"/>
        </w:rPr>
        <w:t>своевременной корректировки значений целевых индикаторов и показателей ожидаемого результата, имеющих отклонение;</w:t>
      </w:r>
    </w:p>
    <w:p w14:paraId="58F88C22">
      <w:pPr>
        <w:pStyle w:val="7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color w:val="000000" w:themeColor="text1"/>
          <w:szCs w:val="28"/>
        </w:rPr>
      </w:pPr>
      <w:r>
        <w:rPr>
          <w:rFonts w:ascii="PT Astra Serif" w:hAnsi="PT Astra Serif"/>
          <w:szCs w:val="28"/>
        </w:rPr>
        <w:t>осуществлять планирование прогнозных значений целевых показателей с учётом предусмотренных средств на реализацию программы, а также с учётом сложившейся динамики в предыдущие периоды, для устранения сложившейся негативной тенденции по достижению целевых индикаторов и показателей ожидаемого результата</w:t>
      </w:r>
      <w:r>
        <w:rPr>
          <w:rFonts w:ascii="PT Astra Serif" w:hAnsi="PT Astra Serif"/>
          <w:bCs/>
          <w:szCs w:val="28"/>
        </w:rPr>
        <w:t>.</w:t>
      </w:r>
    </w:p>
    <w:p w14:paraId="31EC02A7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</w:rPr>
      </w:pPr>
    </w:p>
    <w:p w14:paraId="54EA18D6">
      <w:pPr>
        <w:pStyle w:val="7"/>
        <w:numPr>
          <w:ilvl w:val="0"/>
          <w:numId w:val="5"/>
        </w:numPr>
        <w:tabs>
          <w:tab w:val="left" w:pos="0"/>
        </w:tabs>
        <w:spacing w:after="0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«Чистая вода» на территории  муниципального образования «Старомаклаушинское сельское поселение Майнского района Ульяновской области</w:t>
      </w:r>
    </w:p>
    <w:p w14:paraId="37C49830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 исполнитель муниципальной программы – администрация МО «Старомаклаушинское  поселение» Майнского района Ульяновской области. Срок реализации 2022-2025 годы.</w:t>
      </w:r>
    </w:p>
    <w:p w14:paraId="54BE5A24">
      <w:pPr>
        <w:spacing w:after="0"/>
        <w:ind w:left="142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На реализацию  муниципальной программы запланировано выделение денежных средств из бюджета МО «</w:t>
      </w:r>
      <w:r>
        <w:rPr>
          <w:rFonts w:ascii="Times New Roman" w:hAnsi="Times New Roman" w:cs="Times New Roman"/>
          <w:sz w:val="24"/>
          <w:szCs w:val="24"/>
        </w:rPr>
        <w:t>Старомаклаушинское сельское  поселение</w:t>
      </w:r>
      <w:r>
        <w:rPr>
          <w:rFonts w:ascii="Times New Roman" w:hAnsi="Times New Roman" w:eastAsia="Times New Roman" w:cs="Times New Roman"/>
          <w:sz w:val="24"/>
          <w:szCs w:val="24"/>
        </w:rPr>
        <w:t>» в объёме 1,0 тыс. рублей</w:t>
      </w:r>
    </w:p>
    <w:p w14:paraId="16D4A713">
      <w:pPr>
        <w:spacing w:after="0"/>
        <w:ind w:left="142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 отчётном периоде освоение средств бюджета составило 0,0 тыс. рублей.</w:t>
      </w:r>
    </w:p>
    <w:p w14:paraId="4303F0BD">
      <w:pPr>
        <w:pStyle w:val="7"/>
        <w:tabs>
          <w:tab w:val="left" w:pos="709"/>
        </w:tabs>
        <w:spacing w:after="0"/>
        <w:ind w:left="502"/>
        <w:jc w:val="both"/>
        <w:rPr>
          <w:rFonts w:eastAsia="Times New Roman" w:cs="Times New Roman"/>
          <w:sz w:val="24"/>
          <w:szCs w:val="24"/>
        </w:rPr>
      </w:pPr>
    </w:p>
    <w:p w14:paraId="13A1D654">
      <w:pPr>
        <w:pStyle w:val="7"/>
        <w:tabs>
          <w:tab w:val="left" w:pos="709"/>
        </w:tabs>
        <w:spacing w:after="0"/>
        <w:ind w:left="502"/>
        <w:jc w:val="both"/>
        <w:rPr>
          <w:rFonts w:cs="Times New Roman"/>
          <w:color w:val="333333"/>
          <w:sz w:val="24"/>
          <w:szCs w:val="24"/>
          <w:shd w:val="clear" w:color="auto" w:fill="FFFFFF"/>
        </w:rPr>
      </w:pPr>
      <w:r>
        <w:rPr>
          <w:rFonts w:eastAsia="Times New Roman" w:cs="Times New Roman"/>
          <w:sz w:val="24"/>
          <w:szCs w:val="24"/>
        </w:rPr>
        <w:t>Оценка эффективности реализации муниципальной программы осуществлялась по следующим целевым индикаторам:</w:t>
      </w:r>
    </w:p>
    <w:p w14:paraId="458E3822">
      <w:pPr>
        <w:spacing w:after="0" w:line="240" w:lineRule="auto"/>
        <w:ind w:left="142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</w:p>
    <w:tbl>
      <w:tblPr>
        <w:tblStyle w:val="6"/>
        <w:tblW w:w="0" w:type="auto"/>
        <w:tblInd w:w="-9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3545"/>
        <w:gridCol w:w="598"/>
        <w:gridCol w:w="1245"/>
        <w:gridCol w:w="1559"/>
        <w:gridCol w:w="1276"/>
        <w:gridCol w:w="1701"/>
      </w:tblGrid>
      <w:tr w14:paraId="278AE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</w:trPr>
        <w:tc>
          <w:tcPr>
            <w:tcW w:w="566" w:type="dxa"/>
            <w:shd w:val="clear" w:color="auto" w:fill="FFFFFF" w:themeFill="background1"/>
          </w:tcPr>
          <w:p w14:paraId="3D3F1671">
            <w:pPr>
              <w:spacing w:after="96" w:line="240" w:lineRule="auto"/>
              <w:jc w:val="center"/>
              <w:rPr>
                <w:rFonts w:ascii="Times New Roman" w:hAnsi="Times New Roman" w:eastAsia="Calibri" w:cs="Times New Roman"/>
                <w:color w:val="2C2C2C"/>
                <w:sz w:val="22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2C2C2C"/>
                <w:sz w:val="22"/>
                <w:lang w:eastAsia="ru-RU"/>
              </w:rPr>
              <w:br w:type="textWrapping"/>
            </w:r>
            <w:r>
              <w:rPr>
                <w:rFonts w:ascii="Times New Roman" w:hAnsi="Times New Roman" w:eastAsia="Calibri" w:cs="Times New Roman"/>
                <w:b/>
                <w:bCs/>
                <w:color w:val="2C2C2C"/>
                <w:sz w:val="22"/>
                <w:lang w:eastAsia="ru-RU"/>
              </w:rPr>
              <w:t> № </w:t>
            </w:r>
            <w:r>
              <w:rPr>
                <w:rFonts w:ascii="Times New Roman" w:hAnsi="Times New Roman" w:eastAsia="Calibri" w:cs="Times New Roman"/>
                <w:b/>
                <w:bCs/>
                <w:color w:val="2C2C2C"/>
                <w:sz w:val="22"/>
                <w:lang w:eastAsia="ru-RU"/>
              </w:rPr>
              <w:br w:type="textWrapping"/>
            </w:r>
            <w:r>
              <w:rPr>
                <w:rFonts w:ascii="Times New Roman" w:hAnsi="Times New Roman" w:eastAsia="Calibri" w:cs="Times New Roman"/>
                <w:b/>
                <w:bCs/>
                <w:color w:val="2C2C2C"/>
                <w:sz w:val="22"/>
                <w:lang w:eastAsia="ru-RU"/>
              </w:rPr>
              <w:t>п/п</w:t>
            </w:r>
          </w:p>
        </w:tc>
        <w:tc>
          <w:tcPr>
            <w:tcW w:w="3545" w:type="dxa"/>
            <w:shd w:val="clear" w:color="auto" w:fill="FFFFFF" w:themeFill="background1"/>
          </w:tcPr>
          <w:p w14:paraId="7ABA25D6">
            <w:pPr>
              <w:spacing w:after="96" w:line="240" w:lineRule="auto"/>
              <w:jc w:val="center"/>
              <w:rPr>
                <w:rFonts w:ascii="Times New Roman" w:hAnsi="Times New Roman" w:cs="Times New Roman" w:eastAsiaTheme="minorHAnsi"/>
                <w:b/>
                <w:bCs/>
                <w:color w:val="2C2C2C"/>
                <w:sz w:val="22"/>
                <w:lang w:eastAsia="ru-RU"/>
              </w:rPr>
            </w:pPr>
          </w:p>
          <w:p w14:paraId="1C4953F7">
            <w:pPr>
              <w:spacing w:after="96" w:line="240" w:lineRule="auto"/>
              <w:jc w:val="center"/>
              <w:rPr>
                <w:rFonts w:ascii="Times New Roman" w:hAnsi="Times New Roman" w:cs="Times New Roman" w:eastAsiaTheme="minorHAnsi"/>
                <w:b/>
                <w:bCs/>
                <w:color w:val="2C2C2C"/>
                <w:sz w:val="22"/>
                <w:lang w:eastAsia="ru-RU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color w:val="2C2C2C"/>
                <w:sz w:val="22"/>
                <w:lang w:eastAsia="ru-RU"/>
              </w:rPr>
              <w:t xml:space="preserve">Наименование </w:t>
            </w:r>
          </w:p>
          <w:p w14:paraId="197799BB">
            <w:pPr>
              <w:spacing w:after="96" w:line="240" w:lineRule="auto"/>
              <w:jc w:val="center"/>
              <w:rPr>
                <w:rFonts w:ascii="Times New Roman" w:hAnsi="Times New Roman" w:eastAsia="Calibri" w:cs="Times New Roman"/>
                <w:color w:val="2C2C2C"/>
                <w:sz w:val="22"/>
                <w:lang w:eastAsia="ru-RU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color w:val="2C2C2C"/>
                <w:sz w:val="22"/>
                <w:lang w:eastAsia="ru-RU"/>
              </w:rPr>
              <w:t xml:space="preserve">целевого </w:t>
            </w:r>
            <w:r>
              <w:rPr>
                <w:rFonts w:ascii="Times New Roman" w:hAnsi="Times New Roman" w:eastAsia="Calibri" w:cs="Times New Roman"/>
                <w:b/>
                <w:bCs/>
                <w:color w:val="2C2C2C"/>
                <w:sz w:val="22"/>
                <w:lang w:eastAsia="ru-RU"/>
              </w:rPr>
              <w:t>показателя</w:t>
            </w:r>
          </w:p>
        </w:tc>
        <w:tc>
          <w:tcPr>
            <w:tcW w:w="598" w:type="dxa"/>
            <w:shd w:val="clear" w:color="auto" w:fill="FFFFFF" w:themeFill="background1"/>
          </w:tcPr>
          <w:p w14:paraId="7DA9F206">
            <w:pPr>
              <w:spacing w:after="96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2C2C2C"/>
                <w:sz w:val="22"/>
                <w:lang w:eastAsia="ru-RU"/>
              </w:rPr>
            </w:pPr>
          </w:p>
          <w:p w14:paraId="70C74A60">
            <w:pPr>
              <w:spacing w:after="96" w:line="240" w:lineRule="auto"/>
              <w:jc w:val="center"/>
              <w:rPr>
                <w:rFonts w:ascii="Times New Roman" w:hAnsi="Times New Roman" w:eastAsia="Calibri" w:cs="Times New Roman"/>
                <w:color w:val="2C2C2C"/>
                <w:sz w:val="22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2C2C2C"/>
                <w:sz w:val="22"/>
                <w:lang w:eastAsia="ru-RU"/>
              </w:rPr>
              <w:t>Ед. </w:t>
            </w:r>
            <w:r>
              <w:rPr>
                <w:rFonts w:ascii="Times New Roman" w:hAnsi="Times New Roman" w:eastAsia="Calibri" w:cs="Times New Roman"/>
                <w:b/>
                <w:bCs/>
                <w:color w:val="2C2C2C"/>
                <w:sz w:val="22"/>
                <w:lang w:eastAsia="ru-RU"/>
              </w:rPr>
              <w:br w:type="textWrapping"/>
            </w:r>
            <w:r>
              <w:rPr>
                <w:rFonts w:ascii="Times New Roman" w:hAnsi="Times New Roman" w:eastAsia="Calibri" w:cs="Times New Roman"/>
                <w:b/>
                <w:bCs/>
                <w:color w:val="2C2C2C"/>
                <w:sz w:val="22"/>
                <w:lang w:eastAsia="ru-RU"/>
              </w:rPr>
              <w:t>изм.</w:t>
            </w:r>
          </w:p>
        </w:tc>
        <w:tc>
          <w:tcPr>
            <w:tcW w:w="1245" w:type="dxa"/>
            <w:shd w:val="clear" w:color="auto" w:fill="FFFFFF" w:themeFill="background1"/>
          </w:tcPr>
          <w:p w14:paraId="65352E81">
            <w:pPr>
              <w:spacing w:after="96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2C2C2C"/>
                <w:sz w:val="22"/>
                <w:lang w:eastAsia="ru-RU"/>
              </w:rPr>
            </w:pPr>
          </w:p>
          <w:p w14:paraId="4796D0F2">
            <w:pPr>
              <w:spacing w:after="96" w:line="240" w:lineRule="auto"/>
              <w:jc w:val="center"/>
              <w:rPr>
                <w:rFonts w:ascii="Times New Roman" w:hAnsi="Times New Roman" w:eastAsia="Calibri" w:cs="Times New Roman"/>
                <w:color w:val="2C2C2C"/>
                <w:sz w:val="22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2C2C2C"/>
                <w:sz w:val="22"/>
                <w:lang w:eastAsia="ru-RU"/>
              </w:rPr>
              <w:t>Плановое</w:t>
            </w:r>
            <w:r>
              <w:rPr>
                <w:rFonts w:ascii="Times New Roman" w:hAnsi="Times New Roman" w:eastAsia="Calibri" w:cs="Times New Roman"/>
                <w:b/>
                <w:bCs/>
                <w:color w:val="2C2C2C"/>
                <w:sz w:val="22"/>
                <w:lang w:eastAsia="ru-RU"/>
              </w:rPr>
              <w:br w:type="textWrapping"/>
            </w:r>
            <w:r>
              <w:rPr>
                <w:rFonts w:ascii="Times New Roman" w:hAnsi="Times New Roman" w:eastAsia="Calibri" w:cs="Times New Roman"/>
                <w:b/>
                <w:bCs/>
                <w:color w:val="2C2C2C"/>
                <w:sz w:val="22"/>
                <w:lang w:eastAsia="ru-RU"/>
              </w:rPr>
              <w:t>значение</w:t>
            </w:r>
          </w:p>
        </w:tc>
        <w:tc>
          <w:tcPr>
            <w:tcW w:w="1559" w:type="dxa"/>
            <w:shd w:val="clear" w:color="auto" w:fill="FFFFFF" w:themeFill="background1"/>
          </w:tcPr>
          <w:p w14:paraId="5CB154A7">
            <w:pPr>
              <w:spacing w:after="96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2C2C2C"/>
                <w:sz w:val="22"/>
                <w:lang w:eastAsia="ru-RU"/>
              </w:rPr>
            </w:pPr>
          </w:p>
          <w:p w14:paraId="001F0F75">
            <w:pPr>
              <w:spacing w:after="96" w:line="240" w:lineRule="auto"/>
              <w:jc w:val="center"/>
              <w:rPr>
                <w:rFonts w:ascii="Times New Roman" w:hAnsi="Times New Roman" w:eastAsia="Calibri" w:cs="Times New Roman"/>
                <w:color w:val="2C2C2C"/>
                <w:sz w:val="22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2C2C2C"/>
                <w:sz w:val="22"/>
                <w:lang w:eastAsia="ru-RU"/>
              </w:rPr>
              <w:t>Фактическое</w:t>
            </w:r>
            <w:r>
              <w:rPr>
                <w:rFonts w:ascii="Times New Roman" w:hAnsi="Times New Roman" w:eastAsia="Calibri" w:cs="Times New Roman"/>
                <w:b/>
                <w:bCs/>
                <w:color w:val="2C2C2C"/>
                <w:sz w:val="22"/>
                <w:lang w:eastAsia="ru-RU"/>
              </w:rPr>
              <w:br w:type="textWrapping"/>
            </w:r>
            <w:r>
              <w:rPr>
                <w:rFonts w:ascii="Times New Roman" w:hAnsi="Times New Roman" w:eastAsia="Calibri" w:cs="Times New Roman"/>
                <w:b/>
                <w:bCs/>
                <w:color w:val="2C2C2C"/>
                <w:sz w:val="22"/>
                <w:lang w:eastAsia="ru-RU"/>
              </w:rPr>
              <w:t> значение</w:t>
            </w:r>
          </w:p>
        </w:tc>
        <w:tc>
          <w:tcPr>
            <w:tcW w:w="1276" w:type="dxa"/>
            <w:shd w:val="clear" w:color="auto" w:fill="FFFFFF" w:themeFill="background1"/>
          </w:tcPr>
          <w:p w14:paraId="507B6C6C">
            <w:pPr>
              <w:spacing w:after="96" w:line="255" w:lineRule="atLeast"/>
              <w:jc w:val="center"/>
              <w:rPr>
                <w:rFonts w:ascii="Times New Roman" w:hAnsi="Times New Roman" w:eastAsia="Times New Roman" w:cs="Times New Roman"/>
                <w:color w:val="2C2C2C"/>
                <w:sz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C2C2C"/>
                <w:sz w:val="22"/>
                <w:lang w:eastAsia="ru-RU"/>
              </w:rPr>
              <w:t>Процент достижения</w:t>
            </w:r>
          </w:p>
          <w:p w14:paraId="20C94F3B">
            <w:pPr>
              <w:spacing w:after="96" w:line="255" w:lineRule="atLeast"/>
              <w:jc w:val="center"/>
              <w:rPr>
                <w:rFonts w:ascii="Times New Roman" w:hAnsi="Times New Roman" w:eastAsia="Calibri" w:cs="Times New Roman"/>
                <w:color w:val="2C2C2C"/>
                <w:sz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C2C2C"/>
                <w:sz w:val="22"/>
                <w:lang w:eastAsia="ru-RU"/>
              </w:rPr>
              <w:t>%</w:t>
            </w:r>
          </w:p>
        </w:tc>
        <w:tc>
          <w:tcPr>
            <w:tcW w:w="1701" w:type="dxa"/>
            <w:shd w:val="clear" w:color="auto" w:fill="FFFFFF" w:themeFill="background1"/>
          </w:tcPr>
          <w:p w14:paraId="1B1349A5">
            <w:pPr>
              <w:spacing w:after="96" w:line="255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color w:val="2C2C2C"/>
                <w:sz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C2C2C"/>
                <w:sz w:val="22"/>
                <w:lang w:eastAsia="ru-RU"/>
              </w:rPr>
              <w:t>Источник  информации</w:t>
            </w:r>
          </w:p>
        </w:tc>
      </w:tr>
      <w:tr w14:paraId="2A39E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  <w:shd w:val="clear" w:color="auto" w:fill="FFFFFF" w:themeFill="background1"/>
          </w:tcPr>
          <w:p w14:paraId="48D64B33">
            <w:pPr>
              <w:spacing w:after="96" w:line="255" w:lineRule="atLeast"/>
              <w:jc w:val="center"/>
              <w:rPr>
                <w:rFonts w:ascii="Times New Roman" w:hAnsi="Times New Roman" w:eastAsia="Calibri" w:cs="Times New Roman"/>
                <w:color w:val="2C2C2C"/>
                <w:sz w:val="22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2C2C2C"/>
                <w:sz w:val="22"/>
                <w:lang w:eastAsia="ru-RU"/>
              </w:rPr>
              <w:t>1.</w:t>
            </w:r>
          </w:p>
        </w:tc>
        <w:tc>
          <w:tcPr>
            <w:tcW w:w="3545" w:type="dxa"/>
            <w:shd w:val="clear" w:color="auto" w:fill="FFFFFF" w:themeFill="background1"/>
          </w:tcPr>
          <w:p w14:paraId="729BDFF2">
            <w:pPr>
              <w:pStyle w:val="10"/>
              <w:snapToGrid w:val="0"/>
              <w:jc w:val="both"/>
              <w:rPr>
                <w:rFonts w:eastAsia="Calibri"/>
                <w:color w:val="2C2C2C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Снижение уровня износа объектов водоснабжения  </w:t>
            </w:r>
          </w:p>
        </w:tc>
        <w:tc>
          <w:tcPr>
            <w:tcW w:w="598" w:type="dxa"/>
            <w:shd w:val="clear" w:color="auto" w:fill="FFFFFF" w:themeFill="background1"/>
          </w:tcPr>
          <w:p w14:paraId="6C94E7C4">
            <w:pPr>
              <w:spacing w:after="96" w:line="255" w:lineRule="atLeast"/>
              <w:jc w:val="center"/>
              <w:rPr>
                <w:rFonts w:ascii="Times New Roman" w:hAnsi="Times New Roman" w:eastAsia="Calibri" w:cs="Times New Roman"/>
                <w:color w:val="2C2C2C"/>
                <w:sz w:val="22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2C2C2C"/>
                <w:sz w:val="22"/>
                <w:lang w:eastAsia="ru-RU"/>
              </w:rPr>
              <w:t>%</w:t>
            </w:r>
          </w:p>
        </w:tc>
        <w:tc>
          <w:tcPr>
            <w:tcW w:w="1245" w:type="dxa"/>
            <w:shd w:val="clear" w:color="auto" w:fill="FFFFFF" w:themeFill="background1"/>
          </w:tcPr>
          <w:p w14:paraId="71BC5ADE">
            <w:pPr>
              <w:spacing w:after="96" w:line="255" w:lineRule="atLeast"/>
              <w:jc w:val="center"/>
              <w:rPr>
                <w:rFonts w:hint="default" w:ascii="Times New Roman" w:hAnsi="Times New Roman" w:eastAsia="Calibri" w:cs="Times New Roman"/>
                <w:sz w:val="22"/>
                <w:lang w:val="en-US" w:eastAsia="ru-RU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lang w:val="en-US" w:eastAsia="ru-RU"/>
              </w:rPr>
              <w:t>38</w:t>
            </w:r>
          </w:p>
        </w:tc>
        <w:tc>
          <w:tcPr>
            <w:tcW w:w="1559" w:type="dxa"/>
            <w:shd w:val="clear" w:color="auto" w:fill="FFFFFF" w:themeFill="background1"/>
          </w:tcPr>
          <w:p w14:paraId="4A32E87B">
            <w:pPr>
              <w:spacing w:after="96" w:line="255" w:lineRule="atLeast"/>
              <w:jc w:val="center"/>
              <w:rPr>
                <w:rFonts w:hint="default" w:ascii="Times New Roman" w:hAnsi="Times New Roman" w:eastAsia="Calibri" w:cs="Times New Roman"/>
                <w:sz w:val="22"/>
                <w:highlight w:val="yellow"/>
                <w:lang w:val="en-US" w:eastAsia="ru-RU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lang w:val="en-US" w:eastAsia="ru-RU"/>
              </w:rPr>
              <w:t>38</w:t>
            </w:r>
          </w:p>
        </w:tc>
        <w:tc>
          <w:tcPr>
            <w:tcW w:w="1276" w:type="dxa"/>
            <w:shd w:val="clear" w:color="auto" w:fill="FFFFFF" w:themeFill="background1"/>
          </w:tcPr>
          <w:p w14:paraId="2B804C94">
            <w:pPr>
              <w:spacing w:after="96" w:line="255" w:lineRule="atLeast"/>
              <w:jc w:val="center"/>
              <w:rPr>
                <w:rFonts w:ascii="Times New Roman" w:hAnsi="Times New Roman" w:eastAsia="Calibri" w:cs="Times New Roman"/>
                <w:sz w:val="22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2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FFFFFF" w:themeFill="background1"/>
          </w:tcPr>
          <w:p w14:paraId="0890F01D">
            <w:pPr>
              <w:spacing w:after="96" w:line="255" w:lineRule="atLeast"/>
              <w:jc w:val="center"/>
              <w:rPr>
                <w:rFonts w:ascii="Times New Roman" w:hAnsi="Times New Roman" w:eastAsia="Calibri" w:cs="Times New Roman"/>
                <w:sz w:val="22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2"/>
                <w:lang w:eastAsia="ru-RU"/>
              </w:rPr>
              <w:t>Статистический отчет 1-водопровод</w:t>
            </w:r>
          </w:p>
        </w:tc>
      </w:tr>
      <w:tr w14:paraId="5815B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  <w:shd w:val="clear" w:color="auto" w:fill="FFFFFF" w:themeFill="background1"/>
          </w:tcPr>
          <w:p w14:paraId="65B59F3D">
            <w:pPr>
              <w:spacing w:after="96" w:line="255" w:lineRule="atLeast"/>
              <w:jc w:val="center"/>
              <w:rPr>
                <w:rFonts w:ascii="Times New Roman" w:hAnsi="Times New Roman" w:eastAsia="Calibri" w:cs="Times New Roman"/>
                <w:color w:val="2C2C2C"/>
                <w:sz w:val="22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2C2C2C"/>
                <w:sz w:val="22"/>
                <w:lang w:eastAsia="ru-RU"/>
              </w:rPr>
              <w:t>2.</w:t>
            </w:r>
          </w:p>
        </w:tc>
        <w:tc>
          <w:tcPr>
            <w:tcW w:w="3545" w:type="dxa"/>
            <w:shd w:val="clear" w:color="auto" w:fill="FFFFFF" w:themeFill="background1"/>
          </w:tcPr>
          <w:p w14:paraId="08FFC278">
            <w:pPr>
              <w:pStyle w:val="1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доли населения, потребляющего питьевую воду надлежащего качества</w:t>
            </w:r>
          </w:p>
        </w:tc>
        <w:tc>
          <w:tcPr>
            <w:tcW w:w="598" w:type="dxa"/>
            <w:shd w:val="clear" w:color="auto" w:fill="FFFFFF" w:themeFill="background1"/>
          </w:tcPr>
          <w:p w14:paraId="7D910E50">
            <w:pPr>
              <w:spacing w:after="96" w:line="255" w:lineRule="atLeast"/>
              <w:jc w:val="center"/>
              <w:rPr>
                <w:rFonts w:ascii="Times New Roman" w:hAnsi="Times New Roman" w:eastAsia="Calibri" w:cs="Times New Roman"/>
                <w:color w:val="2C2C2C"/>
                <w:sz w:val="22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2C2C2C"/>
                <w:sz w:val="22"/>
                <w:lang w:eastAsia="ru-RU"/>
              </w:rPr>
              <w:t>%</w:t>
            </w:r>
          </w:p>
        </w:tc>
        <w:tc>
          <w:tcPr>
            <w:tcW w:w="1245" w:type="dxa"/>
            <w:shd w:val="clear" w:color="auto" w:fill="FFFFFF" w:themeFill="background1"/>
          </w:tcPr>
          <w:p w14:paraId="028614B5">
            <w:pPr>
              <w:spacing w:after="96" w:line="255" w:lineRule="atLeast"/>
              <w:jc w:val="center"/>
              <w:rPr>
                <w:rFonts w:ascii="Times New Roman" w:hAnsi="Times New Roman" w:eastAsia="Calibri" w:cs="Times New Roman"/>
                <w:color w:val="2C2C2C"/>
                <w:sz w:val="22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2C2C2C"/>
                <w:sz w:val="22"/>
                <w:lang w:eastAsia="ru-RU"/>
              </w:rPr>
              <w:t>89</w:t>
            </w:r>
          </w:p>
        </w:tc>
        <w:tc>
          <w:tcPr>
            <w:tcW w:w="1559" w:type="dxa"/>
            <w:shd w:val="clear" w:color="auto" w:fill="FFFFFF" w:themeFill="background1"/>
          </w:tcPr>
          <w:p w14:paraId="7A7B17DB">
            <w:pPr>
              <w:spacing w:after="96" w:line="255" w:lineRule="atLeast"/>
              <w:jc w:val="center"/>
              <w:rPr>
                <w:rFonts w:ascii="Times New Roman" w:hAnsi="Times New Roman" w:eastAsia="Calibri" w:cs="Times New Roman"/>
                <w:color w:val="2C2C2C"/>
                <w:sz w:val="22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2C2C2C"/>
                <w:sz w:val="22"/>
                <w:lang w:eastAsia="ru-RU"/>
              </w:rPr>
              <w:t>89</w:t>
            </w:r>
          </w:p>
        </w:tc>
        <w:tc>
          <w:tcPr>
            <w:tcW w:w="1276" w:type="dxa"/>
            <w:shd w:val="clear" w:color="auto" w:fill="FFFFFF" w:themeFill="background1"/>
          </w:tcPr>
          <w:p w14:paraId="35A8B03F">
            <w:pPr>
              <w:spacing w:after="96" w:line="255" w:lineRule="atLeast"/>
              <w:jc w:val="center"/>
              <w:rPr>
                <w:rFonts w:ascii="Times New Roman" w:hAnsi="Times New Roman" w:eastAsia="Calibri" w:cs="Times New Roman"/>
                <w:color w:val="2C2C2C"/>
                <w:sz w:val="22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2C2C2C"/>
                <w:sz w:val="22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FFFFFF" w:themeFill="background1"/>
          </w:tcPr>
          <w:p w14:paraId="3E4E8C0E">
            <w:pPr>
              <w:spacing w:after="96" w:line="255" w:lineRule="atLeast"/>
              <w:jc w:val="center"/>
              <w:rPr>
                <w:rFonts w:ascii="Times New Roman" w:hAnsi="Times New Roman" w:eastAsia="Calibri" w:cs="Times New Roman"/>
                <w:sz w:val="22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2"/>
                <w:lang w:eastAsia="ru-RU"/>
              </w:rPr>
              <w:t xml:space="preserve">Протокол </w:t>
            </w:r>
            <w:r>
              <w:rPr>
                <w:rFonts w:ascii="Times New Roman" w:hAnsi="Times New Roman" w:cs="Times New Roman" w:eastAsiaTheme="minorHAnsi"/>
                <w:bCs/>
                <w:sz w:val="22"/>
                <w:shd w:val="clear" w:color="auto" w:fill="FFFFFF"/>
                <w:lang w:eastAsia="en-US"/>
              </w:rPr>
              <w:t>Филиала ФБУЗ "Центр гигиены и эпидемиологии в Ульяновской области в Карсунском районе"</w:t>
            </w:r>
            <w:r>
              <w:rPr>
                <w:rFonts w:ascii="Times New Roman" w:hAnsi="Times New Roman" w:eastAsia="Calibri" w:cs="Times New Roman"/>
                <w:sz w:val="22"/>
                <w:lang w:eastAsia="ru-RU"/>
              </w:rPr>
              <w:t xml:space="preserve">5 </w:t>
            </w:r>
          </w:p>
          <w:p w14:paraId="2798C492">
            <w:pPr>
              <w:spacing w:after="96" w:line="255" w:lineRule="atLeast"/>
              <w:jc w:val="center"/>
              <w:rPr>
                <w:rFonts w:ascii="Times New Roman" w:hAnsi="Times New Roman" w:eastAsia="Calibri" w:cs="Times New Roman"/>
                <w:color w:val="2C2C2C"/>
                <w:sz w:val="22"/>
                <w:highlight w:val="yellow"/>
                <w:lang w:eastAsia="ru-RU"/>
              </w:rPr>
            </w:pPr>
          </w:p>
        </w:tc>
      </w:tr>
      <w:tr w14:paraId="7EBC1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  <w:shd w:val="clear" w:color="auto" w:fill="FFFFFF" w:themeFill="background1"/>
          </w:tcPr>
          <w:p w14:paraId="43C4C66A">
            <w:pPr>
              <w:spacing w:after="96" w:line="255" w:lineRule="atLeast"/>
              <w:jc w:val="center"/>
              <w:rPr>
                <w:rFonts w:ascii="Times New Roman" w:hAnsi="Times New Roman" w:eastAsia="Calibri" w:cs="Times New Roman"/>
                <w:color w:val="2C2C2C"/>
                <w:sz w:val="22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2C2C2C"/>
                <w:sz w:val="22"/>
                <w:lang w:eastAsia="ru-RU"/>
              </w:rPr>
              <w:t>3.</w:t>
            </w:r>
          </w:p>
        </w:tc>
        <w:tc>
          <w:tcPr>
            <w:tcW w:w="3545" w:type="dxa"/>
            <w:shd w:val="clear" w:color="auto" w:fill="FFFFFF" w:themeFill="background1"/>
          </w:tcPr>
          <w:p w14:paraId="5F075CE1">
            <w:pPr>
              <w:pStyle w:val="1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Сокращение уровня потерь воды в сетях централизованного водоснабжения, в том числе из-за аварий</w:t>
            </w:r>
          </w:p>
        </w:tc>
        <w:tc>
          <w:tcPr>
            <w:tcW w:w="598" w:type="dxa"/>
            <w:shd w:val="clear" w:color="auto" w:fill="FFFFFF" w:themeFill="background1"/>
          </w:tcPr>
          <w:p w14:paraId="26363A97">
            <w:pPr>
              <w:spacing w:after="96" w:line="255" w:lineRule="atLeast"/>
              <w:jc w:val="center"/>
              <w:rPr>
                <w:rFonts w:ascii="Times New Roman" w:hAnsi="Times New Roman" w:eastAsia="Calibri" w:cs="Times New Roman"/>
                <w:sz w:val="22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2"/>
                <w:lang w:eastAsia="ru-RU"/>
              </w:rPr>
              <w:t>%</w:t>
            </w:r>
          </w:p>
        </w:tc>
        <w:tc>
          <w:tcPr>
            <w:tcW w:w="1245" w:type="dxa"/>
            <w:shd w:val="clear" w:color="auto" w:fill="FFFFFF" w:themeFill="background1"/>
          </w:tcPr>
          <w:p w14:paraId="60F93AD8">
            <w:pPr>
              <w:spacing w:after="96" w:line="255" w:lineRule="atLeast"/>
              <w:jc w:val="center"/>
              <w:rPr>
                <w:rFonts w:ascii="Times New Roman" w:hAnsi="Times New Roman" w:eastAsia="Calibri" w:cs="Times New Roman"/>
                <w:sz w:val="22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2"/>
                <w:lang w:eastAsia="ru-RU"/>
              </w:rPr>
              <w:t>14</w:t>
            </w:r>
          </w:p>
        </w:tc>
        <w:tc>
          <w:tcPr>
            <w:tcW w:w="1559" w:type="dxa"/>
            <w:shd w:val="clear" w:color="auto" w:fill="FFFFFF" w:themeFill="background1"/>
          </w:tcPr>
          <w:p w14:paraId="06C461E8">
            <w:pPr>
              <w:spacing w:after="96" w:line="255" w:lineRule="atLeast"/>
              <w:jc w:val="center"/>
              <w:rPr>
                <w:rFonts w:hint="default" w:ascii="Times New Roman" w:hAnsi="Times New Roman" w:eastAsia="Calibri" w:cs="Times New Roman"/>
                <w:sz w:val="22"/>
                <w:highlight w:val="yellow"/>
                <w:lang w:val="en-US" w:eastAsia="ru-RU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lang w:val="en-US" w:eastAsia="ru-RU"/>
              </w:rPr>
              <w:t>12,5</w:t>
            </w:r>
          </w:p>
        </w:tc>
        <w:tc>
          <w:tcPr>
            <w:tcW w:w="1276" w:type="dxa"/>
            <w:shd w:val="clear" w:color="auto" w:fill="FFFFFF" w:themeFill="background1"/>
          </w:tcPr>
          <w:p w14:paraId="3CD1ACFC">
            <w:pPr>
              <w:spacing w:after="96" w:line="255" w:lineRule="atLeast"/>
              <w:jc w:val="center"/>
              <w:rPr>
                <w:rFonts w:hint="default" w:ascii="Times New Roman" w:hAnsi="Times New Roman" w:eastAsia="Calibri" w:cs="Times New Roman"/>
                <w:sz w:val="22"/>
                <w:highlight w:val="yellow"/>
                <w:lang w:val="en-US" w:eastAsia="ru-RU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lang w:val="en-US" w:eastAsia="ru-RU"/>
              </w:rPr>
              <w:t>89</w:t>
            </w:r>
          </w:p>
        </w:tc>
        <w:tc>
          <w:tcPr>
            <w:tcW w:w="1701" w:type="dxa"/>
            <w:shd w:val="clear" w:color="auto" w:fill="FFFFFF" w:themeFill="background1"/>
          </w:tcPr>
          <w:p w14:paraId="49820AF7">
            <w:pPr>
              <w:spacing w:after="96" w:line="255" w:lineRule="atLeast"/>
              <w:jc w:val="center"/>
              <w:rPr>
                <w:rFonts w:ascii="Times New Roman" w:hAnsi="Times New Roman" w:eastAsia="Calibri" w:cs="Times New Roman"/>
                <w:sz w:val="22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2"/>
                <w:lang w:eastAsia="ru-RU"/>
              </w:rPr>
              <w:t>Статистический отчет 1-водопровод</w:t>
            </w:r>
          </w:p>
          <w:p w14:paraId="387109C5">
            <w:pPr>
              <w:spacing w:after="96" w:line="255" w:lineRule="atLeast"/>
              <w:jc w:val="center"/>
              <w:rPr>
                <w:rFonts w:ascii="Times New Roman" w:hAnsi="Times New Roman" w:eastAsia="Calibri" w:cs="Times New Roman"/>
                <w:sz w:val="22"/>
                <w:highlight w:val="yellow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2"/>
                <w:lang w:eastAsia="ru-RU"/>
              </w:rPr>
              <w:t xml:space="preserve">Отпущено </w:t>
            </w:r>
            <w:r>
              <w:rPr>
                <w:rFonts w:hint="default" w:ascii="Times New Roman" w:hAnsi="Times New Roman" w:eastAsia="Calibri" w:cs="Times New Roman"/>
                <w:sz w:val="22"/>
                <w:lang w:val="en-US" w:eastAsia="ru-RU"/>
              </w:rPr>
              <w:t>25</w:t>
            </w:r>
            <w:r>
              <w:rPr>
                <w:rFonts w:ascii="Times New Roman" w:hAnsi="Times New Roman" w:eastAsia="Calibri" w:cs="Times New Roman"/>
                <w:sz w:val="22"/>
                <w:lang w:eastAsia="ru-RU"/>
              </w:rPr>
              <w:t>тыс. куб. м , реализовано</w:t>
            </w:r>
            <w:r>
              <w:rPr>
                <w:rFonts w:hint="default" w:ascii="Times New Roman" w:hAnsi="Times New Roman" w:eastAsia="Calibri" w:cs="Times New Roman"/>
                <w:sz w:val="22"/>
                <w:lang w:val="en-US" w:eastAsia="ru-RU"/>
              </w:rPr>
              <w:t xml:space="preserve"> 24.1тыс.куб.м, </w:t>
            </w:r>
            <w:r>
              <w:rPr>
                <w:rFonts w:ascii="Times New Roman" w:hAnsi="Times New Roman" w:eastAsia="Calibri" w:cs="Times New Roman"/>
                <w:sz w:val="22"/>
                <w:lang w:eastAsia="ru-RU"/>
              </w:rPr>
              <w:t xml:space="preserve">потери </w:t>
            </w:r>
            <w:r>
              <w:rPr>
                <w:rFonts w:hint="default" w:ascii="Times New Roman" w:hAnsi="Times New Roman" w:eastAsia="Calibri" w:cs="Times New Roman"/>
                <w:sz w:val="22"/>
                <w:lang w:val="en-US" w:eastAsia="ru-RU"/>
              </w:rPr>
              <w:t>0,09</w:t>
            </w:r>
            <w:r>
              <w:rPr>
                <w:rFonts w:ascii="Times New Roman" w:hAnsi="Times New Roman" w:eastAsia="Calibri" w:cs="Times New Roman"/>
                <w:sz w:val="22"/>
                <w:lang w:eastAsia="ru-RU"/>
              </w:rPr>
              <w:t xml:space="preserve"> тыс. куб. метров </w:t>
            </w:r>
          </w:p>
        </w:tc>
      </w:tr>
    </w:tbl>
    <w:p w14:paraId="38B8FFA4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15C420DD">
      <w:pPr>
        <w:spacing w:after="0" w:line="240" w:lineRule="auto"/>
        <w:jc w:val="center"/>
        <w:rPr>
          <w:rFonts w:hint="default" w:ascii="Times New Roman" w:hAnsi="Times New Roman" w:cs="Times New Roman"/>
          <w:b/>
          <w:szCs w:val="24"/>
        </w:rPr>
      </w:pPr>
      <w:r>
        <w:rPr>
          <w:rFonts w:hint="default" w:ascii="Times New Roman" w:hAnsi="Times New Roman" w:cs="Times New Roman"/>
          <w:b/>
          <w:szCs w:val="24"/>
        </w:rPr>
        <w:t>Результаты эффективности реализации программы  в 2023 году</w:t>
      </w:r>
    </w:p>
    <w:p w14:paraId="30031502">
      <w:pPr>
        <w:tabs>
          <w:tab w:val="left" w:pos="709"/>
        </w:tabs>
        <w:spacing w:after="0" w:line="240" w:lineRule="auto"/>
        <w:ind w:left="567" w:firstLine="142"/>
        <w:jc w:val="both"/>
        <w:rPr>
          <w:rFonts w:cs="Times New Roman"/>
          <w:color w:val="333333"/>
          <w:szCs w:val="24"/>
          <w:highlight w:val="yellow"/>
          <w:shd w:val="clear" w:color="auto" w:fill="FFFFFF"/>
        </w:rPr>
      </w:pPr>
    </w:p>
    <w:tbl>
      <w:tblPr>
        <w:tblStyle w:val="3"/>
        <w:tblpPr w:leftFromText="180" w:rightFromText="180" w:vertAnchor="text" w:horzAnchor="page" w:tblpX="997" w:tblpY="429"/>
        <w:tblOverlap w:val="never"/>
        <w:tblW w:w="1034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2"/>
        <w:gridCol w:w="996"/>
        <w:gridCol w:w="1080"/>
        <w:gridCol w:w="1752"/>
        <w:gridCol w:w="1540"/>
      </w:tblGrid>
      <w:tr w14:paraId="604F2A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EAF1DD"/>
          </w:tcPr>
          <w:p w14:paraId="1A35C207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Эффективность реализации МП, %</w:t>
            </w:r>
          </w:p>
        </w:tc>
        <w:tc>
          <w:tcPr>
            <w:tcW w:w="207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99"/>
          </w:tcPr>
          <w:p w14:paraId="278086D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58,999</w:t>
            </w:r>
          </w:p>
        </w:tc>
        <w:tc>
          <w:tcPr>
            <w:tcW w:w="329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99"/>
          </w:tcPr>
          <w:p w14:paraId="4F6B4F4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Низкая степень эффективности</w:t>
            </w:r>
          </w:p>
        </w:tc>
      </w:tr>
      <w:tr w14:paraId="4A53F5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49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EAF1DD"/>
          </w:tcPr>
          <w:p w14:paraId="4715F7E1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Достижение целевых индикаторов МП, %</w:t>
            </w:r>
          </w:p>
        </w:tc>
        <w:tc>
          <w:tcPr>
            <w:tcW w:w="5368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99"/>
          </w:tcPr>
          <w:p w14:paraId="6A72543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85,33%</w:t>
            </w:r>
          </w:p>
        </w:tc>
      </w:tr>
      <w:tr w14:paraId="48D6D2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49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EAF1DD"/>
          </w:tcPr>
          <w:p w14:paraId="2EFAF177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Достижение показателей ожидаемого результата реализации МП, %</w:t>
            </w:r>
          </w:p>
        </w:tc>
        <w:tc>
          <w:tcPr>
            <w:tcW w:w="5368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99"/>
          </w:tcPr>
          <w:p w14:paraId="7B91985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14:paraId="05852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4972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000000" w:fill="EAF1DD"/>
          </w:tcPr>
          <w:p w14:paraId="363FF1B0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Степень эффективности деятельности МЗ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000000" w:fill="FFFF99"/>
          </w:tcPr>
          <w:p w14:paraId="14BA92F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000000" w:fill="FFFF99"/>
          </w:tcPr>
          <w:p w14:paraId="16F5505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61,67%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000000" w:fill="FFFF99"/>
          </w:tcPr>
          <w:p w14:paraId="0177501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99"/>
          </w:tcPr>
          <w:p w14:paraId="7771FB9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14:paraId="1D4194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97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EAF1DD"/>
          </w:tcPr>
          <w:p w14:paraId="64747BC0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Общий объём финансирования МП, тыс. рублей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EAF1DD"/>
          </w:tcPr>
          <w:p w14:paraId="7B4EEBB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83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EAF1DD"/>
          </w:tcPr>
          <w:p w14:paraId="356233C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99"/>
          </w:tcPr>
          <w:p w14:paraId="5DE6F7F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% исполнения</w:t>
            </w:r>
          </w:p>
        </w:tc>
      </w:tr>
      <w:tr w14:paraId="11890B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97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4A7B83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BED3E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1,0</w:t>
            </w:r>
          </w:p>
        </w:tc>
        <w:tc>
          <w:tcPr>
            <w:tcW w:w="28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EAF1DD"/>
          </w:tcPr>
          <w:p w14:paraId="3CF079F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DDD812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0,0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14:paraId="20CDA9D9">
      <w:pPr>
        <w:tabs>
          <w:tab w:val="left" w:pos="0"/>
        </w:tabs>
        <w:spacing w:after="0"/>
        <w:ind w:left="567" w:firstLine="142"/>
        <w:contextualSpacing/>
        <w:jc w:val="both"/>
        <w:rPr>
          <w:rFonts w:hint="default"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14:paraId="78B185A4">
      <w:pPr>
        <w:tabs>
          <w:tab w:val="left" w:pos="0"/>
        </w:tabs>
        <w:spacing w:after="0"/>
        <w:ind w:left="567" w:firstLine="142"/>
        <w:contextualSpacing/>
        <w:jc w:val="both"/>
        <w:rPr>
          <w:rFonts w:hint="default" w:ascii="Times New Roman" w:hAnsi="Times New Roman" w:cs="Times New Roman"/>
          <w:b/>
          <w:i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Вывод:  </w:t>
      </w:r>
    </w:p>
    <w:p w14:paraId="1273D37F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 итогам проведенного мониторинга за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 xml:space="preserve"> год оценка эффективности реализации муниципальной программы  составила 65,1%, степень эффективности характеризуется как «ниже среднего».</w:t>
      </w:r>
    </w:p>
    <w:p w14:paraId="3DDA7DB3">
      <w:pPr>
        <w:tabs>
          <w:tab w:val="left" w:pos="0"/>
        </w:tabs>
        <w:spacing w:after="0" w:line="240" w:lineRule="auto"/>
        <w:jc w:val="both"/>
        <w:rPr>
          <w:rFonts w:hint="default"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14:paraId="6F55E2FB">
      <w:pPr>
        <w:pStyle w:val="7"/>
        <w:spacing w:after="0" w:line="240" w:lineRule="auto"/>
        <w:ind w:left="0"/>
        <w:jc w:val="both"/>
        <w:rPr>
          <w:rFonts w:ascii="PT Astra Serif" w:hAnsi="PT Astra Serif"/>
          <w:color w:val="000000" w:themeColor="text1"/>
          <w:szCs w:val="28"/>
        </w:rPr>
      </w:pPr>
      <w:r>
        <w:rPr>
          <w:rFonts w:ascii="PT Astra Serif" w:hAnsi="PT Astra Serif"/>
          <w:color w:val="000000" w:themeColor="text1"/>
          <w:szCs w:val="28"/>
        </w:rPr>
        <w:t>В целях обеспечения достижения плановых значений целевых индикаторов, а также показателей, характеризующих ожидаемые результаты реализации муниципальной программы, исполнителю  рекомендуется:</w:t>
      </w:r>
    </w:p>
    <w:p w14:paraId="5930712F">
      <w:pPr>
        <w:pStyle w:val="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PT Astra Serif" w:hAnsi="PT Astra Serif"/>
          <w:color w:val="000000" w:themeColor="text1"/>
          <w:szCs w:val="28"/>
        </w:rPr>
      </w:pPr>
      <w:r>
        <w:rPr>
          <w:rFonts w:ascii="PT Astra Serif" w:hAnsi="PT Astra Serif"/>
          <w:color w:val="000000" w:themeColor="text1"/>
          <w:szCs w:val="28"/>
        </w:rPr>
        <w:t>организовать работу в части</w:t>
      </w:r>
      <w:r>
        <w:t xml:space="preserve"> </w:t>
      </w:r>
      <w:r>
        <w:rPr>
          <w:rFonts w:ascii="PT Astra Serif" w:hAnsi="PT Astra Serif"/>
          <w:color w:val="000000" w:themeColor="text1"/>
          <w:szCs w:val="28"/>
        </w:rPr>
        <w:t>своевременной корректировки значений целевых индикаторов и показателей ожидаемого результата, имеющих отклонение;</w:t>
      </w:r>
    </w:p>
    <w:p w14:paraId="6F7C5B64">
      <w:pPr>
        <w:pStyle w:val="7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color w:val="000000" w:themeColor="text1"/>
          <w:szCs w:val="28"/>
        </w:rPr>
      </w:pPr>
      <w:r>
        <w:rPr>
          <w:rFonts w:ascii="PT Astra Serif" w:hAnsi="PT Astra Serif"/>
          <w:szCs w:val="28"/>
        </w:rPr>
        <w:t>осуществлять планирование прогнозных значений целевых показателей с учётом предусмотренных средств на реализацию программы, а также с учётом сложившейся динамики в предыдущие периоды, для устранения сложившейся негативной тенденции по достижению целевых индикаторов и показателей ожидаемого результата</w:t>
      </w:r>
      <w:r>
        <w:rPr>
          <w:rFonts w:ascii="PT Astra Serif" w:hAnsi="PT Astra Serif"/>
          <w:bCs/>
          <w:szCs w:val="28"/>
        </w:rPr>
        <w:t>.</w:t>
      </w:r>
    </w:p>
    <w:p w14:paraId="0E70774C">
      <w:pPr>
        <w:pStyle w:val="7"/>
        <w:tabs>
          <w:tab w:val="left" w:pos="0"/>
          <w:tab w:val="left" w:pos="3343"/>
        </w:tabs>
        <w:ind w:left="0" w:firstLine="709"/>
        <w:rPr>
          <w:rFonts w:eastAsia="Calibri" w:cs="Times New Roman"/>
          <w:lang w:eastAsia="ru-RU"/>
        </w:rPr>
      </w:pPr>
    </w:p>
    <w:p w14:paraId="3559B10D">
      <w:pPr>
        <w:spacing w:after="0" w:line="240" w:lineRule="auto"/>
        <w:ind w:firstLine="709"/>
        <w:rPr>
          <w:rFonts w:hint="default" w:ascii="Times New Roman" w:hAnsi="Times New Roman" w:eastAsia="Times New Roman" w:cs="Times New Roman"/>
          <w:b/>
          <w:sz w:val="24"/>
          <w:szCs w:val="24"/>
        </w:rPr>
      </w:pPr>
    </w:p>
    <w:p w14:paraId="29CC6B88">
      <w:p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b/>
          <w:sz w:val="24"/>
          <w:szCs w:val="24"/>
        </w:rPr>
      </w:pPr>
    </w:p>
    <w:p w14:paraId="52BA8361">
      <w:pPr>
        <w:numPr>
          <w:ilvl w:val="0"/>
          <w:numId w:val="5"/>
        </w:numPr>
        <w:spacing w:after="0" w:line="240" w:lineRule="auto"/>
        <w:ind w:left="502" w:leftChars="0" w:hanging="360" w:firstLineChars="0"/>
        <w:jc w:val="both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ru-RU"/>
        </w:rPr>
        <w:t>Проект Поддержки Местных инициатив в муниципальном образовании « Старомаклаушинское сельское поселение» Майнского района</w:t>
      </w:r>
    </w:p>
    <w:p w14:paraId="570DFE06">
      <w:pPr>
        <w:numPr>
          <w:ilvl w:val="0"/>
          <w:numId w:val="0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ru-RU"/>
        </w:rPr>
      </w:pPr>
    </w:p>
    <w:p w14:paraId="602AB15F">
      <w:pPr>
        <w:spacing w:after="0"/>
        <w:ind w:left="142"/>
        <w:jc w:val="both"/>
        <w:rPr>
          <w:rStyle w:val="2"/>
          <w:rFonts w:hint="default" w:ascii="Times New Roman" w:hAnsi="Times New Roman" w:cs="Times New Roman"/>
          <w:sz w:val="24"/>
          <w:szCs w:val="24"/>
        </w:rPr>
      </w:pPr>
      <w:r>
        <w:rPr>
          <w:rStyle w:val="2"/>
          <w:rFonts w:hint="default" w:ascii="Times New Roman" w:hAnsi="Times New Roman" w:cs="Times New Roman"/>
          <w:sz w:val="24"/>
          <w:szCs w:val="24"/>
        </w:rPr>
        <w:t>Ответственный исполнитель муниципальной программы – администрация МО «Старомаклаушинское  поселение» Майнского района Ульяновской области. Срок реализации 202</w:t>
      </w:r>
      <w:r>
        <w:rPr>
          <w:rStyle w:val="2"/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Style w:val="2"/>
          <w:rFonts w:hint="default" w:ascii="Times New Roman" w:hAnsi="Times New Roman" w:cs="Times New Roman"/>
          <w:sz w:val="24"/>
          <w:szCs w:val="24"/>
        </w:rPr>
        <w:t>-202</w:t>
      </w:r>
      <w:r>
        <w:rPr>
          <w:rStyle w:val="2"/>
          <w:rFonts w:hint="default" w:ascii="Times New Roman" w:hAnsi="Times New Roman" w:cs="Times New Roman"/>
          <w:sz w:val="24"/>
          <w:szCs w:val="24"/>
          <w:lang w:val="ru-RU"/>
        </w:rPr>
        <w:t>8</w:t>
      </w:r>
      <w:r>
        <w:rPr>
          <w:rStyle w:val="2"/>
          <w:rFonts w:hint="default" w:ascii="Times New Roman" w:hAnsi="Times New Roman" w:cs="Times New Roman"/>
          <w:sz w:val="24"/>
          <w:szCs w:val="24"/>
        </w:rPr>
        <w:t xml:space="preserve"> годы.</w:t>
      </w:r>
    </w:p>
    <w:p w14:paraId="176B43C0">
      <w:pPr>
        <w:spacing w:after="0"/>
        <w:ind w:left="142"/>
        <w:jc w:val="both"/>
        <w:rPr>
          <w:rStyle w:val="2"/>
          <w:rFonts w:hint="default" w:ascii="Times New Roman" w:hAnsi="Times New Roman" w:cs="Times New Roman"/>
          <w:sz w:val="24"/>
          <w:szCs w:val="24"/>
        </w:rPr>
      </w:pPr>
      <w:r>
        <w:rPr>
          <w:rStyle w:val="2"/>
          <w:rFonts w:hint="default" w:ascii="Times New Roman" w:hAnsi="Times New Roman" w:cs="Times New Roman"/>
          <w:sz w:val="24"/>
          <w:szCs w:val="24"/>
        </w:rPr>
        <w:t>На реализацию  муниципальной программы запланировано выделение денежных средств из бюджета МО «Старомаклаушинское сельское  поселение» в объёме</w:t>
      </w:r>
      <w:r>
        <w:rPr>
          <w:rStyle w:val="2"/>
          <w:rFonts w:hint="default" w:ascii="Times New Roman" w:hAnsi="Times New Roman" w:cs="Times New Roman"/>
          <w:sz w:val="24"/>
          <w:szCs w:val="24"/>
          <w:lang w:val="ru-RU"/>
        </w:rPr>
        <w:t xml:space="preserve"> 829,85160</w:t>
      </w:r>
      <w:r>
        <w:rPr>
          <w:rStyle w:val="2"/>
          <w:rFonts w:hint="default" w:ascii="Times New Roman" w:hAnsi="Times New Roman" w:cs="Times New Roman"/>
          <w:sz w:val="24"/>
          <w:szCs w:val="24"/>
        </w:rPr>
        <w:t xml:space="preserve"> тыс. рублей</w:t>
      </w:r>
    </w:p>
    <w:p w14:paraId="72C5B1BF">
      <w:pPr>
        <w:spacing w:after="0"/>
        <w:ind w:right="140" w:firstLine="120" w:firstLineChars="50"/>
        <w:jc w:val="both"/>
        <w:rPr>
          <w:rStyle w:val="2"/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Style w:val="2"/>
          <w:rFonts w:hint="default" w:ascii="Times New Roman" w:hAnsi="Times New Roman" w:cs="Times New Roman"/>
          <w:sz w:val="24"/>
          <w:szCs w:val="24"/>
        </w:rPr>
        <w:t xml:space="preserve">В отчётном периоде освоение средств бюджета составило </w:t>
      </w:r>
      <w:r>
        <w:rPr>
          <w:rStyle w:val="2"/>
          <w:rFonts w:hint="default" w:ascii="Times New Roman" w:hAnsi="Times New Roman" w:cs="Times New Roman"/>
          <w:sz w:val="24"/>
          <w:szCs w:val="24"/>
          <w:lang w:val="ru-RU"/>
        </w:rPr>
        <w:t>829,85160</w:t>
      </w:r>
      <w:r>
        <w:rPr>
          <w:rStyle w:val="2"/>
          <w:rFonts w:hint="default" w:ascii="Times New Roman" w:hAnsi="Times New Roman" w:cs="Times New Roman"/>
          <w:sz w:val="24"/>
          <w:szCs w:val="24"/>
        </w:rPr>
        <w:t xml:space="preserve"> тыс. Рублей</w:t>
      </w:r>
      <w:r>
        <w:rPr>
          <w:rStyle w:val="2"/>
          <w:rFonts w:hint="default"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Style w:val="2"/>
          <w:rFonts w:hint="default" w:ascii="Times New Roman" w:hAnsi="Times New Roman" w:cs="Times New Roman"/>
          <w:sz w:val="24"/>
          <w:szCs w:val="24"/>
          <w:lang w:eastAsia="ru-RU"/>
        </w:rPr>
        <w:t>что составляет 100% от запланированного объёма финансирования.</w:t>
      </w:r>
    </w:p>
    <w:p w14:paraId="0FFF74A0">
      <w:pPr>
        <w:spacing w:after="0"/>
        <w:jc w:val="both"/>
        <w:rPr>
          <w:rStyle w:val="2"/>
          <w:rFonts w:hint="default" w:ascii="Times New Roman" w:hAnsi="Times New Roman" w:cs="Times New Roman"/>
          <w:sz w:val="24"/>
          <w:szCs w:val="24"/>
          <w:lang w:val="en-US" w:eastAsia="ru-RU"/>
        </w:rPr>
      </w:pPr>
      <w:r>
        <w:rPr>
          <w:rStyle w:val="2"/>
          <w:rFonts w:hint="default" w:ascii="Times New Roman" w:hAnsi="Times New Roman" w:cs="Times New Roman"/>
          <w:sz w:val="24"/>
          <w:szCs w:val="24"/>
          <w:lang w:eastAsia="ru-RU"/>
        </w:rPr>
        <w:t xml:space="preserve">  В рамках реализации программы в  202</w:t>
      </w:r>
      <w:r>
        <w:rPr>
          <w:rStyle w:val="2"/>
          <w:rFonts w:hint="default" w:ascii="Times New Roman" w:hAnsi="Times New Roman" w:cs="Times New Roman"/>
          <w:sz w:val="24"/>
          <w:szCs w:val="24"/>
          <w:lang w:val="en-US" w:eastAsia="ru-RU"/>
        </w:rPr>
        <w:t>4</w:t>
      </w:r>
      <w:r>
        <w:rPr>
          <w:rStyle w:val="2"/>
          <w:rFonts w:hint="default" w:ascii="Times New Roman" w:hAnsi="Times New Roman" w:cs="Times New Roman"/>
          <w:sz w:val="24"/>
          <w:szCs w:val="24"/>
          <w:lang w:eastAsia="ru-RU"/>
        </w:rPr>
        <w:t xml:space="preserve"> году  произведен Ремонт системы водоснабжения в</w:t>
      </w:r>
      <w:r>
        <w:rPr>
          <w:rStyle w:val="2"/>
          <w:rFonts w:hint="default" w:ascii="Times New Roman" w:hAnsi="Times New Roman" w:cs="Times New Roman"/>
          <w:sz w:val="24"/>
          <w:szCs w:val="24"/>
          <w:lang w:val="en-US" w:eastAsia="ru-RU"/>
        </w:rPr>
        <w:t xml:space="preserve"> с. Старые Маклауши</w:t>
      </w:r>
      <w:r>
        <w:rPr>
          <w:rStyle w:val="2"/>
          <w:rFonts w:hint="default" w:ascii="Times New Roman" w:hAnsi="Times New Roman" w:cs="Times New Roman"/>
          <w:sz w:val="24"/>
          <w:szCs w:val="24"/>
          <w:lang w:eastAsia="ru-RU"/>
        </w:rPr>
        <w:t xml:space="preserve"> Майнского района Ульяновской области</w:t>
      </w:r>
      <w:r>
        <w:rPr>
          <w:rStyle w:val="2"/>
          <w:rFonts w:hint="default" w:ascii="Times New Roman" w:hAnsi="Times New Roman" w:cs="Times New Roman"/>
          <w:sz w:val="24"/>
          <w:szCs w:val="24"/>
          <w:lang w:val="en-US" w:eastAsia="ru-RU"/>
        </w:rPr>
        <w:t>.</w:t>
      </w:r>
    </w:p>
    <w:p w14:paraId="7B90FC0B">
      <w:pPr>
        <w:spacing w:after="0"/>
        <w:ind w:left="142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</w:p>
    <w:p w14:paraId="44414CD8">
      <w:pPr>
        <w:pStyle w:val="7"/>
        <w:tabs>
          <w:tab w:val="left" w:pos="709"/>
        </w:tabs>
        <w:spacing w:after="0"/>
        <w:ind w:left="0" w:leftChars="0" w:firstLine="0" w:firstLineChars="0"/>
        <w:jc w:val="both"/>
        <w:rPr>
          <w:rFonts w:hint="default"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Оценка эффективности реализации муниципальной программы осуществлялась по следующим целевым индикаторам:</w:t>
      </w:r>
    </w:p>
    <w:tbl>
      <w:tblPr>
        <w:tblStyle w:val="6"/>
        <w:tblpPr w:leftFromText="180" w:rightFromText="180" w:vertAnchor="text" w:horzAnchor="page" w:tblpX="1242" w:tblpY="337"/>
        <w:tblOverlap w:val="never"/>
        <w:tblW w:w="97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3407"/>
        <w:gridCol w:w="633"/>
        <w:gridCol w:w="926"/>
        <w:gridCol w:w="783"/>
        <w:gridCol w:w="776"/>
        <w:gridCol w:w="2694"/>
      </w:tblGrid>
      <w:tr w14:paraId="57C6F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</w:trPr>
        <w:tc>
          <w:tcPr>
            <w:tcW w:w="562" w:type="dxa"/>
            <w:shd w:val="clear" w:color="auto" w:fill="FFFFFF" w:themeFill="background1"/>
          </w:tcPr>
          <w:p w14:paraId="588FAAC5">
            <w:pPr>
              <w:spacing w:after="96" w:line="240" w:lineRule="auto"/>
              <w:jc w:val="center"/>
              <w:rPr>
                <w:rFonts w:hint="default" w:ascii="Times New Roman" w:hAnsi="Times New Roman" w:eastAsia="Calibri" w:cs="Times New Roman"/>
                <w:color w:val="2C2C2C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color w:val="2C2C2C"/>
                <w:sz w:val="24"/>
                <w:szCs w:val="24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Calibri" w:cs="Times New Roman"/>
                <w:b/>
                <w:bCs/>
                <w:color w:val="2C2C2C"/>
                <w:sz w:val="24"/>
                <w:szCs w:val="24"/>
                <w:lang w:eastAsia="ru-RU"/>
              </w:rPr>
              <w:t> № </w:t>
            </w:r>
            <w:r>
              <w:rPr>
                <w:rFonts w:hint="default" w:ascii="Times New Roman" w:hAnsi="Times New Roman" w:eastAsia="Calibri" w:cs="Times New Roman"/>
                <w:b/>
                <w:bCs/>
                <w:color w:val="2C2C2C"/>
                <w:sz w:val="24"/>
                <w:szCs w:val="24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Calibri" w:cs="Times New Roman"/>
                <w:b/>
                <w:bCs/>
                <w:color w:val="2C2C2C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407" w:type="dxa"/>
            <w:shd w:val="clear" w:color="auto" w:fill="FFFFFF" w:themeFill="background1"/>
          </w:tcPr>
          <w:p w14:paraId="6929D4AD">
            <w:pPr>
              <w:spacing w:after="96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</w:pPr>
          </w:p>
          <w:p w14:paraId="112BFCD0">
            <w:pPr>
              <w:spacing w:after="96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 xml:space="preserve">Наименование </w:t>
            </w:r>
          </w:p>
          <w:p w14:paraId="290197C8">
            <w:pPr>
              <w:spacing w:after="96" w:line="240" w:lineRule="auto"/>
              <w:jc w:val="center"/>
              <w:rPr>
                <w:rFonts w:hint="default" w:ascii="Times New Roman" w:hAnsi="Times New Roman" w:eastAsia="Calibri" w:cs="Times New Roman"/>
                <w:color w:val="2C2C2C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 xml:space="preserve">целевого </w:t>
            </w:r>
            <w:r>
              <w:rPr>
                <w:rFonts w:hint="default" w:ascii="Times New Roman" w:hAnsi="Times New Roman" w:eastAsia="Calibri" w:cs="Times New Roman"/>
                <w:b/>
                <w:bCs/>
                <w:color w:val="2C2C2C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633" w:type="dxa"/>
            <w:shd w:val="clear" w:color="auto" w:fill="FFFFFF" w:themeFill="background1"/>
          </w:tcPr>
          <w:p w14:paraId="345D2A57">
            <w:pPr>
              <w:spacing w:after="96" w:line="240" w:lineRule="auto"/>
              <w:jc w:val="center"/>
              <w:rPr>
                <w:rFonts w:hint="default" w:ascii="Times New Roman" w:hAnsi="Times New Roman" w:eastAsia="Calibri" w:cs="Times New Roman"/>
                <w:b/>
                <w:bCs/>
                <w:color w:val="2C2C2C"/>
                <w:sz w:val="24"/>
                <w:szCs w:val="24"/>
                <w:lang w:eastAsia="ru-RU"/>
              </w:rPr>
            </w:pPr>
          </w:p>
          <w:p w14:paraId="27BAF191">
            <w:pPr>
              <w:spacing w:after="96" w:line="240" w:lineRule="auto"/>
              <w:jc w:val="center"/>
              <w:rPr>
                <w:rFonts w:hint="default" w:ascii="Times New Roman" w:hAnsi="Times New Roman" w:eastAsia="Calibri" w:cs="Times New Roman"/>
                <w:color w:val="2C2C2C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color w:val="2C2C2C"/>
                <w:sz w:val="24"/>
                <w:szCs w:val="24"/>
                <w:lang w:eastAsia="ru-RU"/>
              </w:rPr>
              <w:t>Ед. </w:t>
            </w:r>
            <w:r>
              <w:rPr>
                <w:rFonts w:hint="default" w:ascii="Times New Roman" w:hAnsi="Times New Roman" w:eastAsia="Calibri" w:cs="Times New Roman"/>
                <w:b/>
                <w:bCs/>
                <w:color w:val="2C2C2C"/>
                <w:sz w:val="24"/>
                <w:szCs w:val="24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Calibri" w:cs="Times New Roman"/>
                <w:b/>
                <w:bCs/>
                <w:color w:val="2C2C2C"/>
                <w:sz w:val="24"/>
                <w:szCs w:val="24"/>
                <w:lang w:eastAsia="ru-RU"/>
              </w:rPr>
              <w:t>изм</w:t>
            </w:r>
          </w:p>
        </w:tc>
        <w:tc>
          <w:tcPr>
            <w:tcW w:w="926" w:type="dxa"/>
            <w:shd w:val="clear" w:color="auto" w:fill="FFFFFF" w:themeFill="background1"/>
          </w:tcPr>
          <w:p w14:paraId="0DC96A6C">
            <w:pPr>
              <w:spacing w:after="96" w:line="240" w:lineRule="auto"/>
              <w:jc w:val="center"/>
              <w:rPr>
                <w:rFonts w:hint="default" w:ascii="Times New Roman" w:hAnsi="Times New Roman" w:eastAsia="Calibri" w:cs="Times New Roman"/>
                <w:b/>
                <w:bCs/>
                <w:color w:val="2C2C2C"/>
                <w:sz w:val="24"/>
                <w:szCs w:val="24"/>
                <w:lang w:eastAsia="ru-RU"/>
              </w:rPr>
            </w:pPr>
          </w:p>
          <w:p w14:paraId="5F19C8C3">
            <w:pPr>
              <w:spacing w:after="96" w:line="240" w:lineRule="auto"/>
              <w:jc w:val="center"/>
              <w:rPr>
                <w:rFonts w:hint="default" w:ascii="Times New Roman" w:hAnsi="Times New Roman" w:eastAsia="Calibri" w:cs="Times New Roman"/>
                <w:color w:val="2C2C2C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color w:val="2C2C2C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83" w:type="dxa"/>
            <w:shd w:val="clear" w:color="auto" w:fill="FFFFFF" w:themeFill="background1"/>
          </w:tcPr>
          <w:p w14:paraId="6848540F">
            <w:pPr>
              <w:spacing w:after="96" w:line="240" w:lineRule="auto"/>
              <w:jc w:val="center"/>
              <w:rPr>
                <w:rFonts w:hint="default" w:ascii="Times New Roman" w:hAnsi="Times New Roman" w:eastAsia="Calibri" w:cs="Times New Roman"/>
                <w:b/>
                <w:bCs/>
                <w:color w:val="2C2C2C"/>
                <w:sz w:val="24"/>
                <w:szCs w:val="24"/>
                <w:lang w:eastAsia="ru-RU"/>
              </w:rPr>
            </w:pPr>
          </w:p>
          <w:p w14:paraId="3D28BD86">
            <w:pPr>
              <w:spacing w:after="96" w:line="240" w:lineRule="auto"/>
              <w:jc w:val="center"/>
              <w:rPr>
                <w:rFonts w:hint="default" w:ascii="Times New Roman" w:hAnsi="Times New Roman" w:eastAsia="Calibri" w:cs="Times New Roman"/>
                <w:color w:val="2C2C2C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color w:val="2C2C2C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76" w:type="dxa"/>
            <w:shd w:val="clear" w:color="auto" w:fill="FFFFFF" w:themeFill="background1"/>
          </w:tcPr>
          <w:p w14:paraId="66F01A9A">
            <w:pPr>
              <w:spacing w:after="96" w:line="255" w:lineRule="atLeast"/>
              <w:jc w:val="center"/>
              <w:rPr>
                <w:rFonts w:hint="default" w:ascii="Times New Roman" w:hAnsi="Times New Roman" w:eastAsia="Calibri" w:cs="Times New Roman"/>
                <w:color w:val="2C2C2C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% достижения</w:t>
            </w:r>
          </w:p>
        </w:tc>
        <w:tc>
          <w:tcPr>
            <w:tcW w:w="2694" w:type="dxa"/>
            <w:shd w:val="clear" w:color="auto" w:fill="FFFFFF" w:themeFill="background1"/>
          </w:tcPr>
          <w:p w14:paraId="755AF0E2">
            <w:pPr>
              <w:spacing w:after="96" w:line="255" w:lineRule="atLeast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 xml:space="preserve"> Источник информации</w:t>
            </w:r>
          </w:p>
        </w:tc>
      </w:tr>
      <w:tr w14:paraId="0BCEC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62" w:type="dxa"/>
            <w:shd w:val="clear" w:color="auto" w:fill="FFFFFF" w:themeFill="background1"/>
          </w:tcPr>
          <w:p w14:paraId="258C8B0F">
            <w:pPr>
              <w:spacing w:after="96" w:line="255" w:lineRule="atLeast"/>
              <w:jc w:val="center"/>
              <w:rPr>
                <w:rFonts w:hint="default" w:ascii="Times New Roman" w:hAnsi="Times New Roman" w:eastAsia="Calibri" w:cs="Times New Roman"/>
                <w:color w:val="2C2C2C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color w:val="2C2C2C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7" w:type="dxa"/>
            <w:shd w:val="clear" w:color="auto" w:fill="FFFFFF" w:themeFill="background1"/>
          </w:tcPr>
          <w:p w14:paraId="1755B8BE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Колличество инициированных проектов по муниципальной программе ППМИ</w:t>
            </w:r>
          </w:p>
        </w:tc>
        <w:tc>
          <w:tcPr>
            <w:tcW w:w="633" w:type="dxa"/>
            <w:shd w:val="clear" w:color="auto" w:fill="FFFFFF" w:themeFill="background1"/>
          </w:tcPr>
          <w:p w14:paraId="101F184A">
            <w:pPr>
              <w:spacing w:after="96" w:line="255" w:lineRule="atLeast"/>
              <w:jc w:val="center"/>
              <w:rPr>
                <w:rFonts w:hint="default" w:ascii="Times New Roman" w:hAnsi="Times New Roman" w:eastAsia="Calibri" w:cs="Times New Roman"/>
                <w:color w:val="2C2C2C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color w:val="2C2C2C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926" w:type="dxa"/>
            <w:shd w:val="clear" w:color="auto" w:fill="FFFFFF" w:themeFill="background1"/>
          </w:tcPr>
          <w:p w14:paraId="19A9700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  <w:p w14:paraId="3F7FDDD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83" w:type="dxa"/>
            <w:shd w:val="clear" w:color="auto" w:fill="FFFFFF" w:themeFill="background1"/>
          </w:tcPr>
          <w:p w14:paraId="306F064B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color w:val="2C2C2C"/>
                <w:sz w:val="24"/>
                <w:szCs w:val="24"/>
                <w:lang w:eastAsia="ru-RU"/>
              </w:rPr>
            </w:pPr>
          </w:p>
          <w:p w14:paraId="5373E81F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color w:val="2C2C2C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Calibri" w:cs="Times New Roman"/>
                <w:color w:val="2C2C2C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76" w:type="dxa"/>
            <w:shd w:val="clear" w:color="auto" w:fill="FFFFFF" w:themeFill="background1"/>
          </w:tcPr>
          <w:p w14:paraId="0AA19DF6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color w:val="2C2C2C"/>
                <w:sz w:val="24"/>
                <w:szCs w:val="24"/>
                <w:lang w:eastAsia="ru-RU"/>
              </w:rPr>
            </w:pPr>
          </w:p>
          <w:p w14:paraId="0F424A3B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color w:val="2C2C2C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Calibri" w:cs="Times New Roman"/>
                <w:color w:val="2C2C2C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2694" w:type="dxa"/>
            <w:shd w:val="clear" w:color="auto" w:fill="FFFFFF" w:themeFill="background1"/>
          </w:tcPr>
          <w:p w14:paraId="1C846C32">
            <w:pPr>
              <w:spacing w:after="96" w:line="255" w:lineRule="atLeast"/>
              <w:jc w:val="center"/>
              <w:rPr>
                <w:rFonts w:hint="default" w:ascii="Times New Roman" w:hAnsi="Times New Roman" w:eastAsia="Calibri" w:cs="Times New Roman"/>
                <w:color w:val="2C2C2C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Calibri" w:cs="Times New Roman"/>
                <w:color w:val="2C2C2C"/>
                <w:sz w:val="24"/>
                <w:szCs w:val="24"/>
                <w:lang w:val="ru-RU" w:eastAsia="ru-RU"/>
              </w:rPr>
              <w:t>Протокол</w:t>
            </w:r>
            <w:r>
              <w:rPr>
                <w:rFonts w:hint="default" w:ascii="Times New Roman" w:hAnsi="Times New Roman" w:eastAsia="Calibri" w:cs="Times New Roman"/>
                <w:color w:val="2C2C2C"/>
                <w:sz w:val="24"/>
                <w:szCs w:val="24"/>
                <w:lang w:val="en-US" w:eastAsia="ru-RU"/>
              </w:rPr>
              <w:t xml:space="preserve"> заседания конкурсной комиссии по провеению ежегодного конкурсного отбора проектов развития муниципальных образований Ульяновской области, подготовленных на основе местных инициатив</w:t>
            </w:r>
          </w:p>
        </w:tc>
      </w:tr>
      <w:tr w14:paraId="667B9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62" w:type="dxa"/>
            <w:shd w:val="clear" w:color="auto" w:fill="FFFFFF" w:themeFill="background1"/>
          </w:tcPr>
          <w:p w14:paraId="5A265928">
            <w:pPr>
              <w:spacing w:after="96" w:line="255" w:lineRule="atLeast"/>
              <w:jc w:val="center"/>
              <w:rPr>
                <w:rFonts w:hint="default" w:ascii="Times New Roman" w:hAnsi="Times New Roman" w:eastAsia="Calibri" w:cs="Times New Roman"/>
                <w:color w:val="2C2C2C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color w:val="2C2C2C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7" w:type="dxa"/>
            <w:shd w:val="clear" w:color="auto" w:fill="FFFFFF" w:themeFill="background1"/>
          </w:tcPr>
          <w:p w14:paraId="6108F6B1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Колличеситво реализованных проектов по муниципальной программе ППМИ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33" w:type="dxa"/>
            <w:shd w:val="clear" w:color="auto" w:fill="FFFFFF" w:themeFill="background1"/>
          </w:tcPr>
          <w:p w14:paraId="74F50F6E">
            <w:pPr>
              <w:spacing w:after="96" w:line="255" w:lineRule="atLeast"/>
              <w:jc w:val="center"/>
              <w:rPr>
                <w:rFonts w:hint="default" w:ascii="Times New Roman" w:hAnsi="Times New Roman" w:eastAsia="Calibri" w:cs="Times New Roman"/>
                <w:color w:val="2C2C2C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Calibri" w:cs="Times New Roman"/>
                <w:color w:val="2C2C2C"/>
                <w:sz w:val="24"/>
                <w:szCs w:val="24"/>
                <w:lang w:eastAsia="ru-RU"/>
              </w:rPr>
              <w:t>Ед</w:t>
            </w:r>
            <w:r>
              <w:rPr>
                <w:rFonts w:hint="default" w:ascii="Times New Roman" w:hAnsi="Times New Roman" w:eastAsia="Calibri" w:cs="Times New Roman"/>
                <w:color w:val="2C2C2C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926" w:type="dxa"/>
            <w:shd w:val="clear" w:color="auto" w:fill="FFFFFF" w:themeFill="background1"/>
          </w:tcPr>
          <w:p w14:paraId="3F4B501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  <w:p w14:paraId="15C358C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83" w:type="dxa"/>
            <w:shd w:val="clear" w:color="auto" w:fill="FFFFFF" w:themeFill="background1"/>
          </w:tcPr>
          <w:p w14:paraId="370815F0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color w:val="2C2C2C"/>
                <w:sz w:val="24"/>
                <w:szCs w:val="24"/>
                <w:lang w:eastAsia="ru-RU"/>
              </w:rPr>
            </w:pPr>
          </w:p>
          <w:p w14:paraId="07D5CE36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color w:val="2C2C2C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Calibri" w:cs="Times New Roman"/>
                <w:color w:val="2C2C2C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76" w:type="dxa"/>
            <w:shd w:val="clear" w:color="auto" w:fill="FFFFFF" w:themeFill="background1"/>
          </w:tcPr>
          <w:p w14:paraId="3CF4BEC9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color w:val="2C2C2C"/>
                <w:sz w:val="24"/>
                <w:szCs w:val="24"/>
                <w:lang w:eastAsia="ru-RU"/>
              </w:rPr>
            </w:pPr>
          </w:p>
          <w:p w14:paraId="27A9B43F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color w:val="2C2C2C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Calibri" w:cs="Times New Roman"/>
                <w:color w:val="2C2C2C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2694" w:type="dxa"/>
            <w:shd w:val="clear" w:color="auto" w:fill="FFFFFF" w:themeFill="background1"/>
          </w:tcPr>
          <w:p w14:paraId="407D9C1A">
            <w:pPr>
              <w:spacing w:after="96" w:line="255" w:lineRule="atLeast"/>
              <w:jc w:val="center"/>
              <w:rPr>
                <w:rFonts w:hint="default" w:ascii="Times New Roman" w:hAnsi="Times New Roman" w:eastAsia="Calibri" w:cs="Times New Roman"/>
                <w:color w:val="2C2C2C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Отчет об исполнении бюджета МО « Старомклаушинское сельское поселение»</w:t>
            </w:r>
          </w:p>
        </w:tc>
      </w:tr>
      <w:tr w14:paraId="32047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62" w:type="dxa"/>
            <w:shd w:val="clear" w:color="auto" w:fill="FFFFFF" w:themeFill="background1"/>
          </w:tcPr>
          <w:p w14:paraId="6E22344D">
            <w:pPr>
              <w:spacing w:after="96" w:line="255" w:lineRule="atLeast"/>
              <w:jc w:val="center"/>
              <w:rPr>
                <w:rFonts w:hint="default" w:ascii="Times New Roman" w:hAnsi="Times New Roman" w:eastAsia="Calibri" w:cs="Times New Roman"/>
                <w:color w:val="2C2C2C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color w:val="2C2C2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7" w:type="dxa"/>
            <w:shd w:val="clear" w:color="auto" w:fill="FFFFFF" w:themeFill="background1"/>
          </w:tcPr>
          <w:p w14:paraId="6829AFDB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Доля внебюджетных средств , привлеченных для софинансирования проектов по муниципальной программе ППМИ в дененжной форме</w:t>
            </w:r>
          </w:p>
        </w:tc>
        <w:tc>
          <w:tcPr>
            <w:tcW w:w="633" w:type="dxa"/>
            <w:shd w:val="clear" w:color="auto" w:fill="FFFFFF" w:themeFill="background1"/>
          </w:tcPr>
          <w:p w14:paraId="6AE7D9F3">
            <w:pPr>
              <w:spacing w:after="96" w:line="255" w:lineRule="atLeast"/>
              <w:jc w:val="center"/>
              <w:rPr>
                <w:rFonts w:hint="default" w:ascii="Times New Roman" w:hAnsi="Times New Roman" w:eastAsia="Calibri" w:cs="Times New Roman"/>
                <w:color w:val="2C2C2C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color w:val="2C2C2C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26" w:type="dxa"/>
            <w:shd w:val="clear" w:color="auto" w:fill="FFFFFF" w:themeFill="background1"/>
          </w:tcPr>
          <w:p w14:paraId="01D8C34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  <w:p w14:paraId="5E264A3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783" w:type="dxa"/>
            <w:shd w:val="clear" w:color="auto" w:fill="FFFFFF" w:themeFill="background1"/>
          </w:tcPr>
          <w:p w14:paraId="6C51610A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color w:val="2C2C2C"/>
                <w:sz w:val="24"/>
                <w:szCs w:val="24"/>
                <w:highlight w:val="yellow"/>
                <w:lang w:eastAsia="ru-RU"/>
              </w:rPr>
            </w:pPr>
          </w:p>
          <w:p w14:paraId="7562BFCA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color w:val="2C2C2C"/>
                <w:sz w:val="24"/>
                <w:szCs w:val="24"/>
                <w:highlight w:val="yellow"/>
                <w:lang w:val="en-US" w:eastAsia="ru-RU"/>
              </w:rPr>
            </w:pPr>
            <w:r>
              <w:rPr>
                <w:rFonts w:hint="default" w:ascii="Times New Roman" w:hAnsi="Times New Roman" w:eastAsia="Calibri" w:cs="Times New Roman"/>
                <w:color w:val="2C2C2C"/>
                <w:sz w:val="24"/>
                <w:szCs w:val="24"/>
                <w:highlight w:val="yellow"/>
                <w:lang w:val="en-US" w:eastAsia="ru-RU"/>
              </w:rPr>
              <w:t>14</w:t>
            </w:r>
          </w:p>
        </w:tc>
        <w:tc>
          <w:tcPr>
            <w:tcW w:w="776" w:type="dxa"/>
            <w:shd w:val="clear" w:color="auto" w:fill="FFFFFF" w:themeFill="background1"/>
          </w:tcPr>
          <w:p w14:paraId="732F2770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color w:val="2C2C2C"/>
                <w:sz w:val="24"/>
                <w:szCs w:val="24"/>
                <w:highlight w:val="yellow"/>
                <w:lang w:eastAsia="ru-RU"/>
              </w:rPr>
            </w:pPr>
          </w:p>
          <w:p w14:paraId="7D210BF6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color w:val="2C2C2C"/>
                <w:sz w:val="24"/>
                <w:szCs w:val="24"/>
                <w:highlight w:val="yellow"/>
                <w:lang w:val="en-US" w:eastAsia="ru-RU"/>
              </w:rPr>
            </w:pPr>
            <w:r>
              <w:rPr>
                <w:rFonts w:hint="default" w:ascii="Times New Roman" w:hAnsi="Times New Roman" w:eastAsia="Calibri" w:cs="Times New Roman"/>
                <w:color w:val="2C2C2C"/>
                <w:sz w:val="24"/>
                <w:szCs w:val="24"/>
                <w:highlight w:val="yellow"/>
                <w:lang w:val="en-US" w:eastAsia="ru-RU"/>
              </w:rPr>
              <w:t>200</w:t>
            </w:r>
          </w:p>
        </w:tc>
        <w:tc>
          <w:tcPr>
            <w:tcW w:w="2694" w:type="dxa"/>
            <w:shd w:val="clear" w:color="auto" w:fill="FFFFFF" w:themeFill="background1"/>
          </w:tcPr>
          <w:p w14:paraId="67384BC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Отчет об исполнении бюджета МО « Старомклаушинское сельское поселение»</w:t>
            </w:r>
          </w:p>
        </w:tc>
      </w:tr>
    </w:tbl>
    <w:p w14:paraId="04A8D20E">
      <w:pPr>
        <w:tabs>
          <w:tab w:val="left" w:pos="709"/>
        </w:tabs>
        <w:spacing w:after="0" w:line="240" w:lineRule="auto"/>
        <w:ind w:left="709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</w:p>
    <w:p w14:paraId="2324D197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cs="Times New Roman"/>
          <w:color w:val="333333"/>
          <w:szCs w:val="24"/>
          <w:shd w:val="clear" w:color="auto" w:fill="FFFFFF"/>
        </w:rPr>
      </w:pPr>
    </w:p>
    <w:p w14:paraId="265F549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cs="Times New Roman"/>
          <w:color w:val="333333"/>
          <w:szCs w:val="24"/>
          <w:shd w:val="clear" w:color="auto" w:fill="FFFFFF"/>
        </w:rPr>
      </w:pPr>
    </w:p>
    <w:p w14:paraId="7FE55AB2">
      <w:pPr>
        <w:spacing w:after="0" w:line="240" w:lineRule="auto"/>
        <w:jc w:val="center"/>
        <w:rPr>
          <w:rStyle w:val="2"/>
          <w:rFonts w:hint="default" w:ascii="Times New Roman" w:hAnsi="Times New Roman" w:cs="Times New Roman"/>
          <w:sz w:val="24"/>
          <w:szCs w:val="24"/>
        </w:rPr>
      </w:pPr>
      <w:r>
        <w:rPr>
          <w:rStyle w:val="2"/>
          <w:rFonts w:hint="default" w:ascii="Times New Roman" w:hAnsi="Times New Roman" w:cs="Times New Roman"/>
          <w:sz w:val="24"/>
          <w:szCs w:val="24"/>
        </w:rPr>
        <w:t>Результаты эффективности реализации программы  в 2023 году</w:t>
      </w:r>
    </w:p>
    <w:p w14:paraId="3FF40A61">
      <w:pPr>
        <w:tabs>
          <w:tab w:val="left" w:pos="709"/>
        </w:tabs>
        <w:spacing w:after="0" w:line="240" w:lineRule="auto"/>
        <w:ind w:left="567" w:firstLine="142"/>
        <w:jc w:val="both"/>
        <w:rPr>
          <w:rStyle w:val="2"/>
          <w:rFonts w:hint="default" w:ascii="Times New Roman" w:hAnsi="Times New Roman" w:cs="Times New Roman"/>
          <w:sz w:val="24"/>
          <w:szCs w:val="24"/>
        </w:rPr>
      </w:pPr>
    </w:p>
    <w:tbl>
      <w:tblPr>
        <w:tblStyle w:val="3"/>
        <w:tblpPr w:leftFromText="180" w:rightFromText="180" w:vertAnchor="text" w:horzAnchor="page" w:tblpX="1063" w:tblpY="296"/>
        <w:tblOverlap w:val="never"/>
        <w:tblW w:w="1034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0"/>
        <w:gridCol w:w="1236"/>
        <w:gridCol w:w="1075"/>
        <w:gridCol w:w="1689"/>
        <w:gridCol w:w="1540"/>
      </w:tblGrid>
      <w:tr w14:paraId="44F109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EAF1DD"/>
          </w:tcPr>
          <w:p w14:paraId="2365D100">
            <w:pPr>
              <w:spacing w:after="0" w:line="240" w:lineRule="auto"/>
              <w:jc w:val="both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Эффективность реализации МП, %</w:t>
            </w:r>
          </w:p>
        </w:tc>
        <w:tc>
          <w:tcPr>
            <w:tcW w:w="207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99"/>
          </w:tcPr>
          <w:p w14:paraId="4761047A">
            <w:pPr>
              <w:spacing w:after="0" w:line="240" w:lineRule="auto"/>
              <w:jc w:val="center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58,999</w:t>
            </w:r>
          </w:p>
        </w:tc>
        <w:tc>
          <w:tcPr>
            <w:tcW w:w="329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99"/>
          </w:tcPr>
          <w:p w14:paraId="3D982954">
            <w:pPr>
              <w:spacing w:after="0" w:line="240" w:lineRule="auto"/>
              <w:jc w:val="center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Низкая степень эффективности</w:t>
            </w:r>
          </w:p>
        </w:tc>
      </w:tr>
      <w:tr w14:paraId="4FBB9C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49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EAF1DD"/>
          </w:tcPr>
          <w:p w14:paraId="0987C00F">
            <w:pPr>
              <w:spacing w:after="0" w:line="240" w:lineRule="auto"/>
              <w:jc w:val="both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Достижение целевых индикаторов МП, %</w:t>
            </w:r>
          </w:p>
        </w:tc>
        <w:tc>
          <w:tcPr>
            <w:tcW w:w="5368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99"/>
          </w:tcPr>
          <w:p w14:paraId="471D1452">
            <w:pPr>
              <w:spacing w:after="0" w:line="240" w:lineRule="auto"/>
              <w:jc w:val="center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85,33%</w:t>
            </w:r>
          </w:p>
        </w:tc>
      </w:tr>
      <w:tr w14:paraId="2ED14E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49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EAF1DD"/>
          </w:tcPr>
          <w:p w14:paraId="5ED9A77B">
            <w:pPr>
              <w:spacing w:after="0" w:line="240" w:lineRule="auto"/>
              <w:jc w:val="both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Достижение показателей ожидаемого результата реализации МП, %</w:t>
            </w:r>
          </w:p>
        </w:tc>
        <w:tc>
          <w:tcPr>
            <w:tcW w:w="5368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99"/>
          </w:tcPr>
          <w:p w14:paraId="7C70623D">
            <w:pPr>
              <w:spacing w:after="0" w:line="240" w:lineRule="auto"/>
              <w:jc w:val="center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14:paraId="1F6041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4972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000000" w:fill="EAF1DD"/>
          </w:tcPr>
          <w:p w14:paraId="1BCA2C70">
            <w:pPr>
              <w:spacing w:after="0" w:line="240" w:lineRule="auto"/>
              <w:jc w:val="both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Степень эффективности деятельности МЗ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000000" w:fill="FFFF99"/>
          </w:tcPr>
          <w:p w14:paraId="1079FFB9">
            <w:pPr>
              <w:spacing w:after="0" w:line="240" w:lineRule="auto"/>
              <w:jc w:val="center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000000" w:fill="FFFF99"/>
          </w:tcPr>
          <w:p w14:paraId="3AE20488">
            <w:pPr>
              <w:spacing w:after="0" w:line="240" w:lineRule="auto"/>
              <w:jc w:val="center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61,67%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000000" w:fill="FFFF99"/>
          </w:tcPr>
          <w:p w14:paraId="05EB0652">
            <w:pPr>
              <w:spacing w:after="0" w:line="240" w:lineRule="auto"/>
              <w:jc w:val="center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99"/>
          </w:tcPr>
          <w:p w14:paraId="6C7A6FA7">
            <w:pPr>
              <w:spacing w:after="0" w:line="240" w:lineRule="auto"/>
              <w:jc w:val="center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14:paraId="04EE94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97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EAF1DD"/>
          </w:tcPr>
          <w:p w14:paraId="7D2BFA63">
            <w:pPr>
              <w:spacing w:after="0" w:line="240" w:lineRule="auto"/>
              <w:jc w:val="both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Общий объём финансирования МП, тыс. рублей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EAF1DD"/>
          </w:tcPr>
          <w:p w14:paraId="479A989F">
            <w:pPr>
              <w:spacing w:after="0" w:line="240" w:lineRule="auto"/>
              <w:jc w:val="center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83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EAF1DD"/>
          </w:tcPr>
          <w:p w14:paraId="7C753B72">
            <w:pPr>
              <w:spacing w:after="0" w:line="240" w:lineRule="auto"/>
              <w:jc w:val="center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99"/>
          </w:tcPr>
          <w:p w14:paraId="6D8CB3D1">
            <w:pPr>
              <w:spacing w:after="0" w:line="240" w:lineRule="auto"/>
              <w:jc w:val="center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% исполнения</w:t>
            </w:r>
          </w:p>
        </w:tc>
      </w:tr>
      <w:tr w14:paraId="2F01B8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97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45D147B">
            <w:pPr>
              <w:spacing w:after="0" w:line="240" w:lineRule="auto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5693D4">
            <w:pPr>
              <w:spacing w:after="0" w:line="240" w:lineRule="auto"/>
              <w:jc w:val="both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en-US" w:eastAsia="ru-RU"/>
              </w:rPr>
              <w:t>829,85160</w:t>
            </w:r>
          </w:p>
        </w:tc>
        <w:tc>
          <w:tcPr>
            <w:tcW w:w="28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EAF1DD"/>
          </w:tcPr>
          <w:p w14:paraId="72831B77">
            <w:pPr>
              <w:spacing w:after="0" w:line="240" w:lineRule="auto"/>
              <w:jc w:val="center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en-US" w:eastAsia="ru-RU"/>
              </w:rPr>
              <w:t>829,85160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9395BCF">
            <w:pPr>
              <w:spacing w:after="0" w:line="240" w:lineRule="auto"/>
              <w:jc w:val="center"/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  <w:r>
              <w:rPr>
                <w:rStyle w:val="2"/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14:paraId="4797FFFF">
      <w:pPr>
        <w:spacing w:after="0"/>
        <w:jc w:val="both"/>
        <w:rPr>
          <w:rStyle w:val="2"/>
          <w:rFonts w:hint="default" w:ascii="Times New Roman" w:hAnsi="Times New Roman" w:cs="Times New Roman"/>
          <w:sz w:val="24"/>
          <w:szCs w:val="24"/>
          <w:lang w:val="en-US" w:eastAsia="ru-RU"/>
        </w:rPr>
      </w:pPr>
    </w:p>
    <w:p w14:paraId="46FEC2E0">
      <w:pPr>
        <w:spacing w:after="0"/>
        <w:ind w:right="140" w:firstLine="709"/>
        <w:jc w:val="both"/>
        <w:rPr>
          <w:rStyle w:val="2"/>
          <w:rFonts w:hint="default" w:ascii="Times New Roman" w:hAnsi="Times New Roman" w:cs="Times New Roman"/>
          <w:sz w:val="24"/>
          <w:szCs w:val="24"/>
          <w:lang w:eastAsia="ru-RU"/>
        </w:rPr>
      </w:pPr>
    </w:p>
    <w:p w14:paraId="48B7F2CE">
      <w:pPr>
        <w:spacing w:after="0" w:line="240" w:lineRule="auto"/>
        <w:ind w:firstLine="709"/>
        <w:jc w:val="both"/>
        <w:rPr>
          <w:rStyle w:val="2"/>
          <w:rFonts w:hint="default" w:ascii="Times New Roman" w:hAnsi="Times New Roman" w:cs="Times New Roman"/>
          <w:sz w:val="24"/>
          <w:szCs w:val="24"/>
        </w:rPr>
      </w:pPr>
      <w:r>
        <w:rPr>
          <w:rStyle w:val="2"/>
          <w:rFonts w:hint="default" w:ascii="Times New Roman" w:hAnsi="Times New Roman" w:cs="Times New Roman"/>
          <w:sz w:val="24"/>
          <w:szCs w:val="24"/>
        </w:rPr>
        <w:t>По итогам проведенного мониторинга за 202</w:t>
      </w:r>
      <w:r>
        <w:rPr>
          <w:rStyle w:val="2"/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Style w:val="2"/>
          <w:rFonts w:hint="default" w:ascii="Times New Roman" w:hAnsi="Times New Roman" w:cs="Times New Roman"/>
          <w:sz w:val="24"/>
          <w:szCs w:val="24"/>
        </w:rPr>
        <w:t xml:space="preserve"> год оценка эффективности реализации муниципальной программы  составила 59%, степень эффективности характеризуется как «низкая».</w:t>
      </w:r>
    </w:p>
    <w:p w14:paraId="2133985B">
      <w:pPr>
        <w:pStyle w:val="7"/>
        <w:spacing w:after="0" w:line="240" w:lineRule="auto"/>
        <w:ind w:left="0"/>
        <w:jc w:val="both"/>
        <w:rPr>
          <w:rStyle w:val="2"/>
          <w:rFonts w:hint="default" w:ascii="Times New Roman" w:hAnsi="Times New Roman" w:cs="Times New Roman"/>
          <w:sz w:val="24"/>
          <w:szCs w:val="24"/>
        </w:rPr>
      </w:pPr>
      <w:r>
        <w:rPr>
          <w:rStyle w:val="2"/>
          <w:rFonts w:hint="default" w:ascii="Times New Roman" w:hAnsi="Times New Roman" w:cs="Times New Roman"/>
          <w:sz w:val="24"/>
          <w:szCs w:val="24"/>
        </w:rPr>
        <w:tab/>
      </w:r>
      <w:r>
        <w:rPr>
          <w:rStyle w:val="2"/>
          <w:rFonts w:hint="default" w:ascii="Times New Roman" w:hAnsi="Times New Roman" w:cs="Times New Roman"/>
          <w:sz w:val="24"/>
          <w:szCs w:val="24"/>
        </w:rPr>
        <w:t>В целях обеспечения достижения плановых значений целевых индикаторов, а также показателей, характеризующих ожидаемые результаты реализации муниципальной программы, исполнителю  рекомендуется:</w:t>
      </w:r>
    </w:p>
    <w:p w14:paraId="2AA730A3">
      <w:pPr>
        <w:pStyle w:val="7"/>
        <w:numPr>
          <w:ilvl w:val="0"/>
          <w:numId w:val="4"/>
        </w:numPr>
        <w:spacing w:after="0" w:line="240" w:lineRule="auto"/>
        <w:ind w:left="0" w:firstLine="709"/>
        <w:jc w:val="both"/>
        <w:rPr>
          <w:rStyle w:val="2"/>
          <w:rFonts w:hint="default" w:ascii="Times New Roman" w:hAnsi="Times New Roman" w:cs="Times New Roman"/>
          <w:sz w:val="24"/>
          <w:szCs w:val="24"/>
        </w:rPr>
      </w:pPr>
      <w:r>
        <w:rPr>
          <w:rStyle w:val="2"/>
          <w:rFonts w:hint="default" w:ascii="Times New Roman" w:hAnsi="Times New Roman" w:cs="Times New Roman"/>
          <w:sz w:val="24"/>
          <w:szCs w:val="24"/>
        </w:rPr>
        <w:t>организовать работу в части своевременной корректировки значений целевых индикаторов и показателей ожидаемого результата, имеющих отклонение;</w:t>
      </w:r>
    </w:p>
    <w:p w14:paraId="5A9AFC42">
      <w:pPr>
        <w:pStyle w:val="7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2"/>
          <w:rFonts w:hint="default" w:ascii="Times New Roman" w:hAnsi="Times New Roman" w:cs="Times New Roman"/>
          <w:sz w:val="24"/>
          <w:szCs w:val="24"/>
        </w:rPr>
      </w:pPr>
      <w:r>
        <w:rPr>
          <w:rStyle w:val="2"/>
          <w:rFonts w:hint="default" w:ascii="Times New Roman" w:hAnsi="Times New Roman" w:cs="Times New Roman"/>
          <w:sz w:val="24"/>
          <w:szCs w:val="24"/>
        </w:rPr>
        <w:t>осуществлять планирование прогнозных значений целевых показателей с учётом предусмотренных средств на реализацию программы, а также с учётом сложившейся динамики в предыдущие периоды, для устранения сложившейся негативной тенденции по достижению целевых индикаторов и показателей ожидаемого результата.</w:t>
      </w:r>
    </w:p>
    <w:p w14:paraId="288B6719">
      <w:pPr>
        <w:pStyle w:val="5"/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  <w:p w14:paraId="1ED21AEB">
      <w:pPr>
        <w:rPr>
          <w:rFonts w:ascii="Times New Roman" w:hAnsi="Times New Roman" w:cs="Times New Roman"/>
        </w:rPr>
      </w:pPr>
    </w:p>
    <w:p w14:paraId="33D61661">
      <w:pPr>
        <w:rPr>
          <w:rFonts w:ascii="Times New Roman" w:hAnsi="Times New Roman" w:cs="Times New Roman"/>
        </w:rPr>
      </w:pPr>
    </w:p>
    <w:p w14:paraId="3D8928AB">
      <w:pPr>
        <w:rPr>
          <w:rFonts w:ascii="Times New Roman" w:hAnsi="Times New Roman" w:cs="Times New Roman"/>
        </w:rPr>
      </w:pPr>
      <w:bookmarkStart w:id="0" w:name="_GoBack"/>
      <w:bookmarkEnd w:id="0"/>
    </w:p>
    <w:p w14:paraId="6C82B0F0">
      <w:pPr>
        <w:rPr>
          <w:rFonts w:ascii="Times New Roman" w:hAnsi="Times New Roman" w:cs="Times New Roman"/>
        </w:rPr>
        <w:sectPr>
          <w:pgSz w:w="11906" w:h="16838"/>
          <w:pgMar w:top="709" w:right="850" w:bottom="851" w:left="1701" w:header="708" w:footer="708" w:gutter="0"/>
          <w:cols w:space="708" w:num="1"/>
          <w:docGrid w:linePitch="360" w:charSpace="0"/>
        </w:sectPr>
      </w:pPr>
    </w:p>
    <w:p w14:paraId="7C55D4D2">
      <w:pPr>
        <w:pStyle w:val="7"/>
        <w:tabs>
          <w:tab w:val="left" w:pos="0"/>
        </w:tabs>
        <w:ind w:left="0" w:firstLine="709"/>
        <w:rPr>
          <w:rFonts w:eastAsia="Times New Roman" w:cs="Times New Roman"/>
          <w:iCs/>
          <w:sz w:val="22"/>
        </w:rPr>
      </w:pPr>
    </w:p>
    <w:p w14:paraId="34F2667D">
      <w:pPr>
        <w:rPr>
          <w:rFonts w:ascii="Times New Roman" w:hAnsi="Times New Roman" w:cs="Times New Roman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PT Astra Serif">
    <w:altName w:val="Times New Roman"/>
    <w:panose1 w:val="020A0603040505020204"/>
    <w:charset w:val="CC"/>
    <w:family w:val="roman"/>
    <w:pitch w:val="default"/>
    <w:sig w:usb0="00000000" w:usb1="00000000" w:usb2="00000020" w:usb3="00000000" w:csb0="00000097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6982D1"/>
    <w:multiLevelType w:val="singleLevel"/>
    <w:tmpl w:val="936982D1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23438F5"/>
    <w:multiLevelType w:val="multilevel"/>
    <w:tmpl w:val="023438F5"/>
    <w:lvl w:ilvl="0" w:tentative="0">
      <w:start w:val="1"/>
      <w:numFmt w:val="decimal"/>
      <w:lvlText w:val="%1."/>
      <w:lvlJc w:val="left"/>
      <w:pPr>
        <w:ind w:left="502" w:hanging="360"/>
      </w:pPr>
    </w:lvl>
    <w:lvl w:ilvl="1" w:tentative="0">
      <w:start w:val="1"/>
      <w:numFmt w:val="lowerLetter"/>
      <w:lvlText w:val="%2."/>
      <w:lvlJc w:val="left"/>
      <w:pPr>
        <w:ind w:left="1222" w:hanging="360"/>
      </w:pPr>
    </w:lvl>
    <w:lvl w:ilvl="2" w:tentative="0">
      <w:start w:val="1"/>
      <w:numFmt w:val="lowerRoman"/>
      <w:lvlText w:val="%3."/>
      <w:lvlJc w:val="right"/>
      <w:pPr>
        <w:ind w:left="1942" w:hanging="180"/>
      </w:pPr>
    </w:lvl>
    <w:lvl w:ilvl="3" w:tentative="0">
      <w:start w:val="1"/>
      <w:numFmt w:val="decimal"/>
      <w:lvlText w:val="%4."/>
      <w:lvlJc w:val="left"/>
      <w:pPr>
        <w:ind w:left="2662" w:hanging="360"/>
      </w:pPr>
    </w:lvl>
    <w:lvl w:ilvl="4" w:tentative="0">
      <w:start w:val="1"/>
      <w:numFmt w:val="lowerLetter"/>
      <w:lvlText w:val="%5."/>
      <w:lvlJc w:val="left"/>
      <w:pPr>
        <w:ind w:left="3382" w:hanging="360"/>
      </w:pPr>
    </w:lvl>
    <w:lvl w:ilvl="5" w:tentative="0">
      <w:start w:val="1"/>
      <w:numFmt w:val="lowerRoman"/>
      <w:lvlText w:val="%6."/>
      <w:lvlJc w:val="right"/>
      <w:pPr>
        <w:ind w:left="4102" w:hanging="180"/>
      </w:pPr>
    </w:lvl>
    <w:lvl w:ilvl="6" w:tentative="0">
      <w:start w:val="1"/>
      <w:numFmt w:val="decimal"/>
      <w:lvlText w:val="%7."/>
      <w:lvlJc w:val="left"/>
      <w:pPr>
        <w:ind w:left="4822" w:hanging="360"/>
      </w:pPr>
    </w:lvl>
    <w:lvl w:ilvl="7" w:tentative="0">
      <w:start w:val="1"/>
      <w:numFmt w:val="lowerLetter"/>
      <w:lvlText w:val="%8."/>
      <w:lvlJc w:val="left"/>
      <w:pPr>
        <w:ind w:left="5542" w:hanging="360"/>
      </w:pPr>
    </w:lvl>
    <w:lvl w:ilvl="8" w:tentative="0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3516842"/>
    <w:multiLevelType w:val="multilevel"/>
    <w:tmpl w:val="03516842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912DCB"/>
    <w:multiLevelType w:val="multilevel"/>
    <w:tmpl w:val="3D912DCB"/>
    <w:lvl w:ilvl="0" w:tentative="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222" w:hanging="360"/>
      </w:pPr>
    </w:lvl>
    <w:lvl w:ilvl="2" w:tentative="0">
      <w:start w:val="1"/>
      <w:numFmt w:val="lowerRoman"/>
      <w:lvlText w:val="%3."/>
      <w:lvlJc w:val="right"/>
      <w:pPr>
        <w:ind w:left="1942" w:hanging="180"/>
      </w:pPr>
    </w:lvl>
    <w:lvl w:ilvl="3" w:tentative="0">
      <w:start w:val="1"/>
      <w:numFmt w:val="decimal"/>
      <w:lvlText w:val="%4."/>
      <w:lvlJc w:val="left"/>
      <w:pPr>
        <w:ind w:left="2662" w:hanging="360"/>
      </w:pPr>
    </w:lvl>
    <w:lvl w:ilvl="4" w:tentative="0">
      <w:start w:val="1"/>
      <w:numFmt w:val="lowerLetter"/>
      <w:lvlText w:val="%5."/>
      <w:lvlJc w:val="left"/>
      <w:pPr>
        <w:ind w:left="3382" w:hanging="360"/>
      </w:pPr>
    </w:lvl>
    <w:lvl w:ilvl="5" w:tentative="0">
      <w:start w:val="1"/>
      <w:numFmt w:val="lowerRoman"/>
      <w:lvlText w:val="%6."/>
      <w:lvlJc w:val="right"/>
      <w:pPr>
        <w:ind w:left="4102" w:hanging="180"/>
      </w:pPr>
    </w:lvl>
    <w:lvl w:ilvl="6" w:tentative="0">
      <w:start w:val="1"/>
      <w:numFmt w:val="decimal"/>
      <w:lvlText w:val="%7."/>
      <w:lvlJc w:val="left"/>
      <w:pPr>
        <w:ind w:left="4822" w:hanging="360"/>
      </w:pPr>
    </w:lvl>
    <w:lvl w:ilvl="7" w:tentative="0">
      <w:start w:val="1"/>
      <w:numFmt w:val="lowerLetter"/>
      <w:lvlText w:val="%8."/>
      <w:lvlJc w:val="left"/>
      <w:pPr>
        <w:ind w:left="5542" w:hanging="360"/>
      </w:pPr>
    </w:lvl>
    <w:lvl w:ilvl="8" w:tentative="0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49410BB"/>
    <w:multiLevelType w:val="multilevel"/>
    <w:tmpl w:val="749410BB"/>
    <w:lvl w:ilvl="0" w:tentative="0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6E7"/>
    <w:rsid w:val="000849B3"/>
    <w:rsid w:val="000951CD"/>
    <w:rsid w:val="00160BAA"/>
    <w:rsid w:val="00171ABE"/>
    <w:rsid w:val="00172ADB"/>
    <w:rsid w:val="001B6B91"/>
    <w:rsid w:val="00225B0B"/>
    <w:rsid w:val="003073F7"/>
    <w:rsid w:val="00352910"/>
    <w:rsid w:val="00385DFA"/>
    <w:rsid w:val="003D6194"/>
    <w:rsid w:val="003F1E9D"/>
    <w:rsid w:val="004416E7"/>
    <w:rsid w:val="004C08F7"/>
    <w:rsid w:val="005130C6"/>
    <w:rsid w:val="00524A2F"/>
    <w:rsid w:val="00552F2E"/>
    <w:rsid w:val="00561F68"/>
    <w:rsid w:val="00592233"/>
    <w:rsid w:val="00593EB3"/>
    <w:rsid w:val="006A1A20"/>
    <w:rsid w:val="006C6E9C"/>
    <w:rsid w:val="007027BC"/>
    <w:rsid w:val="00715185"/>
    <w:rsid w:val="007A5BFF"/>
    <w:rsid w:val="007B7F85"/>
    <w:rsid w:val="007C63A5"/>
    <w:rsid w:val="007D033A"/>
    <w:rsid w:val="008762B1"/>
    <w:rsid w:val="0089744D"/>
    <w:rsid w:val="008E13F3"/>
    <w:rsid w:val="00900D4D"/>
    <w:rsid w:val="00927D87"/>
    <w:rsid w:val="00993192"/>
    <w:rsid w:val="009E539A"/>
    <w:rsid w:val="00A00B91"/>
    <w:rsid w:val="00A019F4"/>
    <w:rsid w:val="00A1471D"/>
    <w:rsid w:val="00A72CFC"/>
    <w:rsid w:val="00AC67CF"/>
    <w:rsid w:val="00B06355"/>
    <w:rsid w:val="00B6021F"/>
    <w:rsid w:val="00CE309D"/>
    <w:rsid w:val="00D10651"/>
    <w:rsid w:val="00D42A44"/>
    <w:rsid w:val="00D80919"/>
    <w:rsid w:val="00E517A3"/>
    <w:rsid w:val="00E60B0D"/>
    <w:rsid w:val="00E946FE"/>
    <w:rsid w:val="00ED79AC"/>
    <w:rsid w:val="00EF58DA"/>
    <w:rsid w:val="00F15698"/>
    <w:rsid w:val="00F50A38"/>
    <w:rsid w:val="00FD4211"/>
    <w:rsid w:val="19F241BC"/>
    <w:rsid w:val="279A4567"/>
    <w:rsid w:val="282B2895"/>
    <w:rsid w:val="32BA25BE"/>
    <w:rsid w:val="572C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9"/>
    <w:qFormat/>
    <w:uiPriority w:val="99"/>
    <w:pPr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5">
    <w:name w:val="Normal (Web)"/>
    <w:basedOn w:val="1"/>
    <w:link w:val="1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6">
    <w:name w:val="Table Grid"/>
    <w:basedOn w:val="3"/>
    <w:qFormat/>
    <w:uiPriority w:val="59"/>
    <w:pPr>
      <w:spacing w:after="0" w:line="240" w:lineRule="auto"/>
    </w:pPr>
    <w:rPr>
      <w:rFonts w:ascii="Times New Roman" w:hAnsi="Times New Roman" w:eastAsiaTheme="minorHAnsi"/>
      <w:sz w:val="24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link w:val="8"/>
    <w:qFormat/>
    <w:uiPriority w:val="0"/>
    <w:pPr>
      <w:ind w:left="720"/>
      <w:contextualSpacing/>
    </w:pPr>
    <w:rPr>
      <w:rFonts w:ascii="Times New Roman" w:hAnsi="Times New Roman" w:eastAsiaTheme="minorHAnsi"/>
      <w:sz w:val="24"/>
      <w:lang w:eastAsia="en-US"/>
    </w:rPr>
  </w:style>
  <w:style w:type="character" w:customStyle="1" w:styleId="8">
    <w:name w:val="Абзац списка Знак"/>
    <w:link w:val="7"/>
    <w:qFormat/>
    <w:locked/>
    <w:uiPriority w:val="0"/>
    <w:rPr>
      <w:rFonts w:ascii="Times New Roman" w:hAnsi="Times New Roman" w:eastAsiaTheme="minorHAnsi"/>
      <w:sz w:val="24"/>
      <w:lang w:eastAsia="en-US"/>
    </w:rPr>
  </w:style>
  <w:style w:type="character" w:customStyle="1" w:styleId="9">
    <w:name w:val="Основной текст Знак"/>
    <w:basedOn w:val="2"/>
    <w:link w:val="4"/>
    <w:qFormat/>
    <w:uiPriority w:val="99"/>
    <w:rPr>
      <w:rFonts w:ascii="Times New Roman" w:hAnsi="Times New Roman" w:eastAsia="Times New Roman" w:cs="Times New Roman"/>
      <w:sz w:val="24"/>
      <w:szCs w:val="20"/>
    </w:rPr>
  </w:style>
  <w:style w:type="paragraph" w:customStyle="1" w:styleId="10">
    <w:name w:val="Содержимое таблицы"/>
    <w:basedOn w:val="1"/>
    <w:qFormat/>
    <w:uiPriority w:val="99"/>
    <w:pPr>
      <w:widowControl w:val="0"/>
      <w:suppressLineNumbers/>
      <w:suppressAutoHyphens/>
      <w:spacing w:after="0" w:line="240" w:lineRule="auto"/>
    </w:pPr>
    <w:rPr>
      <w:rFonts w:ascii="Times New Roman" w:hAnsi="Times New Roman" w:eastAsia="Lucida Sans Unicode" w:cs="Times New Roman"/>
      <w:kern w:val="1"/>
      <w:sz w:val="28"/>
      <w:szCs w:val="24"/>
      <w:lang w:eastAsia="en-US"/>
    </w:rPr>
  </w:style>
  <w:style w:type="character" w:customStyle="1" w:styleId="11">
    <w:name w:val="Обычный (веб) Знак1"/>
    <w:link w:val="5"/>
    <w:qFormat/>
    <w:locked/>
    <w:uiPriority w:val="99"/>
    <w:rPr>
      <w:rFonts w:ascii="Times New Roman" w:hAnsi="Times New Roman" w:eastAsia="Times New Roman" w:cs="Times New Roman"/>
      <w:sz w:val="24"/>
      <w:szCs w:val="24"/>
    </w:rPr>
  </w:style>
  <w:style w:type="paragraph" w:customStyle="1" w:styleId="12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1381</Words>
  <Characters>7876</Characters>
  <Lines>65</Lines>
  <Paragraphs>18</Paragraphs>
  <TotalTime>26</TotalTime>
  <ScaleCrop>false</ScaleCrop>
  <LinksUpToDate>false</LinksUpToDate>
  <CharactersWithSpaces>9239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2024-02-07T07:29:00Z</dcterms:created>
  <dc:creator>Ксения</dc:creator>
  <cp:lastModifiedBy>Ксения</cp:lastModifiedBy>
  <cp:lastPrinted>2023-03-10T04:07:00Z</cp:lastPrinted>
  <dcterms:modified xsi:type="dcterms:W3CDTF">2025-03-14T10:58:39Z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3ED7D6D1FA01495D9A732F495CFC1081_13</vt:lpwstr>
  </property>
</Properties>
</file>